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sz w:val="22"/>
          <w:highlight w:val="none"/>
        </w:rPr>
      </w:pPr>
    </w:p>
    <w:p>
      <w:pPr>
        <w:pStyle w:val="2"/>
        <w:rPr>
          <w:sz w:val="20"/>
          <w:highlight w:val="none"/>
        </w:rPr>
      </w:pPr>
    </w:p>
    <w:p>
      <w:pPr>
        <w:pStyle w:val="2"/>
        <w:rPr>
          <w:sz w:val="20"/>
          <w:highlight w:val="none"/>
        </w:rPr>
      </w:pPr>
    </w:p>
    <w:p>
      <w:pPr>
        <w:pStyle w:val="2"/>
        <w:rPr>
          <w:sz w:val="20"/>
          <w:highlight w:val="none"/>
        </w:rPr>
      </w:pPr>
    </w:p>
    <w:p>
      <w:pPr>
        <w:pStyle w:val="2"/>
        <w:rPr>
          <w:sz w:val="20"/>
          <w:highlight w:val="none"/>
        </w:rPr>
      </w:pPr>
    </w:p>
    <w:p>
      <w:pPr>
        <w:pStyle w:val="2"/>
        <w:rPr>
          <w:sz w:val="20"/>
          <w:highlight w:val="none"/>
        </w:rPr>
      </w:pPr>
    </w:p>
    <w:p>
      <w:pPr>
        <w:pStyle w:val="2"/>
        <w:rPr>
          <w:sz w:val="20"/>
          <w:highlight w:val="none"/>
        </w:rPr>
      </w:pPr>
    </w:p>
    <w:p>
      <w:pPr>
        <w:pStyle w:val="2"/>
        <w:rPr>
          <w:sz w:val="20"/>
          <w:highlight w:val="none"/>
        </w:rPr>
      </w:pPr>
    </w:p>
    <w:p>
      <w:pPr>
        <w:pStyle w:val="2"/>
        <w:rPr>
          <w:sz w:val="20"/>
          <w:highlight w:val="none"/>
        </w:rPr>
      </w:pPr>
    </w:p>
    <w:p>
      <w:pPr>
        <w:pStyle w:val="2"/>
        <w:rPr>
          <w:sz w:val="20"/>
          <w:highlight w:val="none"/>
        </w:rPr>
      </w:pPr>
    </w:p>
    <w:p>
      <w:pPr>
        <w:pStyle w:val="2"/>
        <w:rPr>
          <w:sz w:val="20"/>
          <w:highlight w:val="none"/>
        </w:rPr>
      </w:pPr>
    </w:p>
    <w:p>
      <w:pPr>
        <w:pStyle w:val="2"/>
        <w:rPr>
          <w:sz w:val="20"/>
          <w:highlight w:val="none"/>
        </w:rPr>
      </w:pPr>
    </w:p>
    <w:p>
      <w:pPr>
        <w:pStyle w:val="2"/>
        <w:rPr>
          <w:sz w:val="20"/>
          <w:highlight w:val="none"/>
        </w:rPr>
      </w:pPr>
    </w:p>
    <w:p>
      <w:pPr>
        <w:pStyle w:val="2"/>
        <w:rPr>
          <w:sz w:val="20"/>
          <w:highlight w:val="none"/>
        </w:rPr>
      </w:pPr>
    </w:p>
    <w:p>
      <w:pPr>
        <w:pStyle w:val="2"/>
        <w:rPr>
          <w:sz w:val="20"/>
          <w:highlight w:val="none"/>
        </w:rPr>
      </w:pPr>
    </w:p>
    <w:p>
      <w:pPr>
        <w:pStyle w:val="2"/>
        <w:rPr>
          <w:sz w:val="20"/>
          <w:highlight w:val="none"/>
        </w:rPr>
      </w:pPr>
    </w:p>
    <w:p>
      <w:pPr>
        <w:pStyle w:val="2"/>
        <w:spacing w:before="12"/>
        <w:rPr>
          <w:sz w:val="18"/>
          <w:highlight w:val="none"/>
        </w:rPr>
      </w:pPr>
    </w:p>
    <w:p>
      <w:pPr>
        <w:pStyle w:val="9"/>
        <w:ind w:left="978"/>
        <w:jc w:val="center"/>
        <w:rPr>
          <w:rFonts w:hint="eastAsia" w:ascii="Times New Roman"/>
          <w:highlight w:val="none"/>
          <w:u w:val="thick"/>
          <w:lang w:eastAsia="zh-CN"/>
        </w:rPr>
      </w:pPr>
      <w:r>
        <w:rPr>
          <w:rFonts w:hint="eastAsia" w:ascii="Times New Roman"/>
          <w:highlight w:val="none"/>
          <w:u w:val="thick"/>
          <w:lang w:eastAsia="zh-CN"/>
        </w:rPr>
        <w:t>连云港市海州区人民检察院</w:t>
      </w:r>
    </w:p>
    <w:p>
      <w:pPr>
        <w:pStyle w:val="9"/>
        <w:ind w:left="978"/>
        <w:jc w:val="center"/>
        <w:rPr>
          <w:highlight w:val="none"/>
        </w:rPr>
      </w:pPr>
      <w:r>
        <w:rPr>
          <w:rFonts w:ascii="Times New Roman" w:eastAsia="Times New Roman"/>
          <w:highlight w:val="none"/>
        </w:rPr>
        <w:t>2020</w:t>
      </w:r>
      <w:r>
        <w:rPr>
          <w:highlight w:val="none"/>
        </w:rPr>
        <w:t>年度部门决算公开</w:t>
      </w:r>
    </w:p>
    <w:p>
      <w:pPr>
        <w:jc w:val="center"/>
        <w:rPr>
          <w:highlight w:val="none"/>
        </w:rPr>
        <w:sectPr>
          <w:pgSz w:w="11910" w:h="16840"/>
          <w:pgMar w:top="1580" w:right="1160" w:bottom="280" w:left="1480" w:header="720" w:footer="720" w:gutter="0"/>
          <w:cols w:space="720" w:num="1"/>
        </w:sectPr>
      </w:pPr>
    </w:p>
    <w:p>
      <w:pPr>
        <w:pStyle w:val="2"/>
        <w:spacing w:before="12"/>
        <w:rPr>
          <w:sz w:val="13"/>
          <w:highlight w:val="none"/>
        </w:rPr>
      </w:pPr>
    </w:p>
    <w:p>
      <w:pPr>
        <w:pStyle w:val="10"/>
        <w:tabs>
          <w:tab w:val="left" w:pos="880"/>
        </w:tabs>
        <w:ind w:right="313"/>
        <w:rPr>
          <w:highlight w:val="none"/>
        </w:rPr>
      </w:pPr>
      <w:r>
        <w:rPr>
          <w:highlight w:val="none"/>
        </w:rPr>
        <w:t>目</w:t>
      </w:r>
      <w:r>
        <w:rPr>
          <w:highlight w:val="none"/>
        </w:rPr>
        <w:tab/>
      </w:r>
      <w:r>
        <w:rPr>
          <w:highlight w:val="none"/>
        </w:rPr>
        <w:t>录</w:t>
      </w:r>
    </w:p>
    <w:p>
      <w:pPr>
        <w:pStyle w:val="2"/>
        <w:spacing w:before="2"/>
        <w:rPr>
          <w:sz w:val="51"/>
          <w:highlight w:val="none"/>
        </w:rPr>
      </w:pPr>
    </w:p>
    <w:p>
      <w:pPr>
        <w:pStyle w:val="2"/>
        <w:ind w:left="109"/>
        <w:rPr>
          <w:highlight w:val="none"/>
        </w:rPr>
      </w:pPr>
      <w:r>
        <w:rPr>
          <w:highlight w:val="none"/>
        </w:rPr>
        <w:t>第一部分 部门概况</w:t>
      </w:r>
    </w:p>
    <w:p>
      <w:pPr>
        <w:pStyle w:val="2"/>
        <w:tabs>
          <w:tab w:val="left" w:pos="994"/>
        </w:tabs>
        <w:spacing w:before="140"/>
        <w:ind w:left="109"/>
        <w:rPr>
          <w:highlight w:val="none"/>
        </w:rPr>
      </w:pPr>
      <w:r>
        <w:rPr>
          <w:highlight w:val="none"/>
        </w:rPr>
        <w:t>一、</w:t>
      </w:r>
      <w:r>
        <w:rPr>
          <w:highlight w:val="none"/>
        </w:rPr>
        <w:tab/>
      </w:r>
      <w:r>
        <w:rPr>
          <w:highlight w:val="none"/>
        </w:rPr>
        <w:t>主要职能</w:t>
      </w:r>
    </w:p>
    <w:p>
      <w:pPr>
        <w:pStyle w:val="2"/>
        <w:tabs>
          <w:tab w:val="left" w:pos="994"/>
        </w:tabs>
        <w:spacing w:before="139" w:line="324" w:lineRule="auto"/>
        <w:ind w:left="109" w:right="3472"/>
        <w:rPr>
          <w:highlight w:val="none"/>
        </w:rPr>
      </w:pPr>
      <w:r>
        <w:rPr>
          <w:highlight w:val="none"/>
        </w:rPr>
        <w:t>二、</w:t>
      </w:r>
      <w:r>
        <w:rPr>
          <w:highlight w:val="none"/>
        </w:rPr>
        <w:tab/>
      </w:r>
      <w:r>
        <w:rPr>
          <w:highlight w:val="none"/>
        </w:rPr>
        <w:t>部门机构设置及决算单位构成情</w:t>
      </w:r>
      <w:r>
        <w:rPr>
          <w:spacing w:val="-16"/>
          <w:highlight w:val="none"/>
        </w:rPr>
        <w:t>况</w:t>
      </w:r>
      <w:r>
        <w:rPr>
          <w:highlight w:val="none"/>
        </w:rPr>
        <w:t>三、</w:t>
      </w:r>
      <w:r>
        <w:rPr>
          <w:highlight w:val="none"/>
        </w:rPr>
        <w:tab/>
      </w:r>
      <w:r>
        <w:rPr>
          <w:rFonts w:ascii="Times New Roman" w:eastAsia="Times New Roman"/>
          <w:highlight w:val="none"/>
        </w:rPr>
        <w:t>2020</w:t>
      </w:r>
      <w:r>
        <w:rPr>
          <w:highlight w:val="none"/>
        </w:rPr>
        <w:t>年度主要工作完成情况</w:t>
      </w:r>
    </w:p>
    <w:p>
      <w:pPr>
        <w:pStyle w:val="2"/>
        <w:spacing w:line="405" w:lineRule="exact"/>
        <w:ind w:left="109"/>
        <w:rPr>
          <w:highlight w:val="none"/>
        </w:rPr>
      </w:pPr>
      <w:r>
        <w:rPr>
          <w:highlight w:val="none"/>
        </w:rPr>
        <w:t xml:space="preserve">第二部分 </w:t>
      </w:r>
      <w:r>
        <w:rPr>
          <w:rFonts w:ascii="Times New Roman" w:eastAsia="Times New Roman"/>
          <w:highlight w:val="none"/>
        </w:rPr>
        <w:t>2020</w:t>
      </w:r>
      <w:r>
        <w:rPr>
          <w:highlight w:val="none"/>
        </w:rPr>
        <w:t>年度部门决算表</w:t>
      </w:r>
    </w:p>
    <w:p>
      <w:pPr>
        <w:pStyle w:val="2"/>
        <w:spacing w:before="140" w:line="321" w:lineRule="auto"/>
        <w:ind w:left="109" w:right="5956"/>
        <w:rPr>
          <w:highlight w:val="none"/>
        </w:rPr>
      </w:pPr>
      <w:r>
        <w:rPr>
          <w:spacing w:val="-2"/>
          <w:highlight w:val="none"/>
        </w:rPr>
        <w:t>一、收入支出决算总表</w:t>
      </w:r>
      <w:r>
        <w:rPr>
          <w:highlight w:val="none"/>
        </w:rPr>
        <w:t>二、收入决算表</w:t>
      </w:r>
    </w:p>
    <w:p>
      <w:pPr>
        <w:pStyle w:val="2"/>
        <w:ind w:left="109"/>
        <w:rPr>
          <w:highlight w:val="none"/>
        </w:rPr>
      </w:pPr>
      <w:r>
        <w:rPr>
          <w:w w:val="95"/>
          <w:highlight w:val="none"/>
        </w:rPr>
        <w:t>三、支出决算表</w:t>
      </w:r>
    </w:p>
    <w:p>
      <w:pPr>
        <w:pStyle w:val="2"/>
        <w:spacing w:before="140"/>
        <w:ind w:left="109"/>
        <w:rPr>
          <w:highlight w:val="none"/>
        </w:rPr>
      </w:pPr>
      <w:r>
        <w:rPr>
          <w:highlight w:val="none"/>
        </w:rPr>
        <w:t>四、财政拨款收入支出决算总表</w:t>
      </w:r>
    </w:p>
    <w:p>
      <w:pPr>
        <w:pStyle w:val="2"/>
        <w:spacing w:before="142"/>
        <w:ind w:left="109"/>
        <w:rPr>
          <w:highlight w:val="none"/>
        </w:rPr>
      </w:pPr>
      <w:r>
        <w:rPr>
          <w:highlight w:val="none"/>
        </w:rPr>
        <w:t>五、财政拨款支出决算表（功能科目）</w:t>
      </w:r>
    </w:p>
    <w:p>
      <w:pPr>
        <w:pStyle w:val="2"/>
        <w:spacing w:before="140" w:line="321" w:lineRule="auto"/>
        <w:ind w:left="109" w:right="3075"/>
        <w:rPr>
          <w:highlight w:val="none"/>
        </w:rPr>
      </w:pPr>
      <w:r>
        <w:rPr>
          <w:highlight w:val="none"/>
        </w:rPr>
        <w:t>六、财政拨款基本支出决算表（经济科目） 七、一般公共预算支出决算表（功能科目）</w:t>
      </w:r>
    </w:p>
    <w:p>
      <w:pPr>
        <w:pStyle w:val="2"/>
        <w:ind w:left="109"/>
        <w:rPr>
          <w:highlight w:val="none"/>
        </w:rPr>
      </w:pPr>
      <w:r>
        <w:rPr>
          <w:highlight w:val="none"/>
        </w:rPr>
        <w:t>八、一般公共预算基本支出决算表（经济科目）</w:t>
      </w:r>
    </w:p>
    <w:p>
      <w:pPr>
        <w:pStyle w:val="2"/>
        <w:spacing w:before="140" w:line="321" w:lineRule="auto"/>
        <w:ind w:left="109" w:right="817" w:firstLine="55"/>
        <w:rPr>
          <w:highlight w:val="none"/>
        </w:rPr>
      </w:pPr>
      <w:r>
        <w:rPr>
          <w:highlight w:val="none"/>
        </w:rPr>
        <w:t>九、一般公共预算</w:t>
      </w:r>
      <w:r>
        <w:rPr>
          <w:rFonts w:ascii="Times New Roman" w:hAnsi="Times New Roman" w:eastAsia="Times New Roman"/>
          <w:highlight w:val="none"/>
        </w:rPr>
        <w:t>“</w:t>
      </w:r>
      <w:r>
        <w:rPr>
          <w:highlight w:val="none"/>
        </w:rPr>
        <w:t>三公</w:t>
      </w:r>
      <w:r>
        <w:rPr>
          <w:rFonts w:ascii="Times New Roman" w:hAnsi="Times New Roman" w:eastAsia="Times New Roman"/>
          <w:highlight w:val="none"/>
        </w:rPr>
        <w:t>”</w:t>
      </w:r>
      <w:r>
        <w:rPr>
          <w:highlight w:val="none"/>
        </w:rPr>
        <w:t>经费、会议费、培训费支出决算表十、政府性基金预算收入支出决算表</w:t>
      </w:r>
    </w:p>
    <w:p>
      <w:pPr>
        <w:pStyle w:val="2"/>
        <w:spacing w:before="3" w:line="321" w:lineRule="auto"/>
        <w:ind w:left="109" w:right="2756"/>
        <w:rPr>
          <w:highlight w:val="none"/>
        </w:rPr>
      </w:pPr>
      <w:r>
        <w:rPr>
          <w:highlight w:val="none"/>
        </w:rPr>
        <w:t>十一、一般公共预算机关运行经费支出决算表十二、政府采购支出决算表</w:t>
      </w:r>
    </w:p>
    <w:p>
      <w:pPr>
        <w:pStyle w:val="2"/>
        <w:spacing w:line="321" w:lineRule="auto"/>
        <w:ind w:left="109" w:right="3875"/>
        <w:rPr>
          <w:highlight w:val="none"/>
        </w:rPr>
      </w:pPr>
      <w:r>
        <w:rPr>
          <w:highlight w:val="none"/>
        </w:rPr>
        <w:t xml:space="preserve">第三部分 </w:t>
      </w:r>
      <w:r>
        <w:rPr>
          <w:rFonts w:ascii="Times New Roman" w:eastAsia="Times New Roman"/>
          <w:highlight w:val="none"/>
        </w:rPr>
        <w:t>2020</w:t>
      </w:r>
      <w:r>
        <w:rPr>
          <w:highlight w:val="none"/>
        </w:rPr>
        <w:t>年度部门决算情况说明第四部分 名词解释</w:t>
      </w:r>
    </w:p>
    <w:p>
      <w:pPr>
        <w:spacing w:line="321" w:lineRule="auto"/>
        <w:rPr>
          <w:highlight w:val="none"/>
        </w:rPr>
        <w:sectPr>
          <w:pgSz w:w="11910" w:h="16840"/>
          <w:pgMar w:top="1580" w:right="1160" w:bottom="280" w:left="1480" w:header="720" w:footer="720" w:gutter="0"/>
          <w:cols w:space="720" w:num="1"/>
        </w:sectPr>
      </w:pPr>
    </w:p>
    <w:p>
      <w:pPr>
        <w:pStyle w:val="2"/>
        <w:spacing w:before="1"/>
        <w:rPr>
          <w:sz w:val="19"/>
          <w:highlight w:val="none"/>
        </w:rPr>
      </w:pPr>
    </w:p>
    <w:p>
      <w:pPr>
        <w:pStyle w:val="12"/>
        <w:tabs>
          <w:tab w:val="left" w:pos="1799"/>
        </w:tabs>
        <w:spacing w:before="51"/>
        <w:ind w:right="313"/>
        <w:rPr>
          <w:highlight w:val="none"/>
        </w:rPr>
      </w:pPr>
      <w:r>
        <w:rPr>
          <w:highlight w:val="none"/>
        </w:rPr>
        <w:t>第一部分</w:t>
      </w:r>
      <w:r>
        <w:rPr>
          <w:highlight w:val="none"/>
        </w:rPr>
        <w:tab/>
      </w:r>
      <w:r>
        <w:rPr>
          <w:highlight w:val="none"/>
        </w:rPr>
        <w:t>部门概况</w:t>
      </w:r>
    </w:p>
    <w:p>
      <w:pPr>
        <w:pStyle w:val="2"/>
        <w:spacing w:before="10"/>
        <w:rPr>
          <w:sz w:val="27"/>
          <w:highlight w:val="none"/>
        </w:rPr>
      </w:pPr>
    </w:p>
    <w:p>
      <w:pPr>
        <w:pStyle w:val="2"/>
        <w:spacing w:before="55"/>
        <w:ind w:left="109"/>
        <w:rPr>
          <w:highlight w:val="none"/>
        </w:rPr>
      </w:pPr>
      <w:r>
        <w:rPr>
          <w:highlight w:val="none"/>
        </w:rPr>
        <w:t>一、主要职能</w:t>
      </w:r>
    </w:p>
    <w:p>
      <w:pPr>
        <w:snapToGrid w:val="0"/>
        <w:spacing w:line="550" w:lineRule="exact"/>
        <w:ind w:firstLine="640" w:firstLineChars="200"/>
        <w:rPr>
          <w:sz w:val="32"/>
          <w:szCs w:val="32"/>
          <w:highlight w:val="none"/>
        </w:rPr>
      </w:pPr>
      <w:r>
        <w:rPr>
          <w:rFonts w:hint="eastAsia"/>
          <w:sz w:val="32"/>
          <w:szCs w:val="32"/>
          <w:highlight w:val="none"/>
        </w:rPr>
        <w:t>人民检察院是国家的法律监督机关。它对于叛国案、分裂国家案以及严重破坏国家的政策、法律、政令统一实施的重大犯罪案件，行使检察权。对于公安机关、国家安全机关等侦查机关侦查的案件进行审查，决定是否逮捕、起诉或者不起诉，并对侦查机关的立案、侦查活动是否合法进行监督。对于刑事案件提起公诉，支持公诉，对于人民法院的刑事判决、裁定是否正确和审判活动是否合法进行监督。对于监狱、看守所等执行机关执行刑罚的活动是否合法实行监督。对于人民法院的民事审判活动实行法律监督，对人民法院已经发生效力的判决、裁定，发现违反法律、法规规定的，依法提出抗诉。对于行政诉讼实行法律监督，对人民法院已经发生效力的判决、裁定发现违反法律、法规规定的，依法提出抗诉。</w:t>
      </w:r>
    </w:p>
    <w:p>
      <w:pPr>
        <w:pStyle w:val="2"/>
        <w:spacing w:before="1"/>
        <w:ind w:left="109"/>
        <w:rPr>
          <w:highlight w:val="none"/>
        </w:rPr>
      </w:pPr>
      <w:r>
        <w:rPr>
          <w:highlight w:val="none"/>
        </w:rPr>
        <w:t>二、部门机构设置及决算单位构成情况</w:t>
      </w:r>
    </w:p>
    <w:p>
      <w:pPr>
        <w:snapToGrid w:val="0"/>
        <w:spacing w:line="550" w:lineRule="exact"/>
        <w:rPr>
          <w:sz w:val="32"/>
          <w:szCs w:val="32"/>
          <w:highlight w:val="none"/>
        </w:rPr>
      </w:pPr>
      <w:r>
        <w:rPr>
          <w:sz w:val="32"/>
          <w:szCs w:val="32"/>
          <w:highlight w:val="none"/>
        </w:rPr>
        <w:t xml:space="preserve">1. </w:t>
      </w:r>
      <w:r>
        <w:rPr>
          <w:rFonts w:hint="eastAsia"/>
          <w:sz w:val="32"/>
          <w:szCs w:val="32"/>
          <w:highlight w:val="none"/>
        </w:rPr>
        <w:t>根据部门职责分工，本部门内设机构包括：办公室、第一至第六检察部、政治部等</w:t>
      </w:r>
      <w:r>
        <w:rPr>
          <w:sz w:val="32"/>
          <w:szCs w:val="32"/>
          <w:highlight w:val="none"/>
        </w:rPr>
        <w:t>8个内设机构和派驻</w:t>
      </w:r>
      <w:r>
        <w:rPr>
          <w:rFonts w:hint="eastAsia"/>
          <w:sz w:val="32"/>
          <w:szCs w:val="32"/>
          <w:highlight w:val="none"/>
        </w:rPr>
        <w:t>新浦</w:t>
      </w:r>
      <w:r>
        <w:rPr>
          <w:sz w:val="32"/>
          <w:szCs w:val="32"/>
          <w:highlight w:val="none"/>
        </w:rPr>
        <w:t>检察室、派驻板浦检察室、派驻浦南检察室3个派出机构。全院现有政法编</w:t>
      </w:r>
      <w:r>
        <w:rPr>
          <w:rFonts w:hint="eastAsia"/>
          <w:sz w:val="32"/>
          <w:szCs w:val="32"/>
          <w:highlight w:val="none"/>
        </w:rPr>
        <w:t>92</w:t>
      </w:r>
      <w:r>
        <w:rPr>
          <w:sz w:val="32"/>
          <w:szCs w:val="32"/>
          <w:highlight w:val="none"/>
        </w:rPr>
        <w:t>个，行政附属编12个。实有人数</w:t>
      </w:r>
      <w:r>
        <w:rPr>
          <w:rFonts w:hint="eastAsia"/>
          <w:sz w:val="32"/>
          <w:szCs w:val="32"/>
          <w:highlight w:val="none"/>
        </w:rPr>
        <w:t>95</w:t>
      </w:r>
      <w:r>
        <w:rPr>
          <w:sz w:val="32"/>
          <w:szCs w:val="32"/>
          <w:highlight w:val="none"/>
        </w:rPr>
        <w:t>人。本部门无下属单位。</w:t>
      </w:r>
    </w:p>
    <w:p>
      <w:pPr>
        <w:snapToGrid w:val="0"/>
        <w:spacing w:line="550" w:lineRule="exact"/>
        <w:rPr>
          <w:sz w:val="32"/>
          <w:szCs w:val="32"/>
          <w:highlight w:val="none"/>
        </w:rPr>
      </w:pPr>
      <w:r>
        <w:rPr>
          <w:sz w:val="32"/>
          <w:szCs w:val="32"/>
          <w:highlight w:val="none"/>
        </w:rPr>
        <w:t xml:space="preserve">2. </w:t>
      </w:r>
      <w:r>
        <w:rPr>
          <w:rFonts w:hint="eastAsia"/>
          <w:sz w:val="32"/>
          <w:szCs w:val="32"/>
          <w:highlight w:val="none"/>
        </w:rPr>
        <w:t>从决算单位构成看，纳入海州区检察院部门</w:t>
      </w:r>
      <w:r>
        <w:rPr>
          <w:sz w:val="32"/>
          <w:szCs w:val="32"/>
          <w:highlight w:val="none"/>
        </w:rPr>
        <w:t>20</w:t>
      </w:r>
      <w:r>
        <w:rPr>
          <w:rFonts w:hint="eastAsia"/>
          <w:sz w:val="32"/>
          <w:szCs w:val="32"/>
          <w:highlight w:val="none"/>
        </w:rPr>
        <w:t>20年部门汇总决算编制范围的预算单位共计1家，具体包括：</w:t>
      </w:r>
      <w:r>
        <w:rPr>
          <w:sz w:val="32"/>
          <w:szCs w:val="32"/>
          <w:highlight w:val="none"/>
        </w:rPr>
        <w:t xml:space="preserve"> </w:t>
      </w:r>
      <w:r>
        <w:rPr>
          <w:rFonts w:hint="eastAsia"/>
          <w:sz w:val="32"/>
          <w:szCs w:val="32"/>
          <w:highlight w:val="none"/>
        </w:rPr>
        <w:t>海州区检察院部门本级。</w:t>
      </w:r>
    </w:p>
    <w:p>
      <w:pPr>
        <w:pStyle w:val="2"/>
        <w:spacing w:before="1"/>
        <w:ind w:left="109"/>
        <w:rPr>
          <w:highlight w:val="none"/>
        </w:rPr>
      </w:pPr>
      <w:r>
        <w:rPr>
          <w:highlight w:val="none"/>
        </w:rPr>
        <w:t>三、2020年度主要工作完成情况</w:t>
      </w:r>
    </w:p>
    <w:p>
      <w:pPr>
        <w:snapToGrid w:val="0"/>
        <w:spacing w:line="550" w:lineRule="exact"/>
        <w:ind w:firstLine="640" w:firstLineChars="200"/>
        <w:rPr>
          <w:rFonts w:hint="eastAsia"/>
          <w:sz w:val="32"/>
          <w:szCs w:val="32"/>
          <w:highlight w:val="none"/>
        </w:rPr>
      </w:pPr>
      <w:r>
        <w:rPr>
          <w:rFonts w:hint="eastAsia"/>
          <w:sz w:val="32"/>
          <w:szCs w:val="32"/>
          <w:highlight w:val="none"/>
        </w:rPr>
        <w:t>2020年，在区委和市检察院的正确领导下，在区人大及其常委会的有力监督下，在区政府、区政协以及社会各界的关心支持下，海州区检察院紧紧围绕区委“七个走在前”部署推进检察工作，在服务发展、维护稳定、打击犯罪、履行法律监督职能等方面彰显检察担当，各项工作取得了显著成效，为建设幸福美丽海州贡献检察力量。</w:t>
      </w:r>
    </w:p>
    <w:p>
      <w:pPr>
        <w:ind w:firstLine="656" w:firstLineChars="200"/>
        <w:rPr>
          <w:rFonts w:eastAsia="黑体"/>
          <w:color w:val="000000" w:themeColor="text1"/>
          <w:spacing w:val="4"/>
          <w:sz w:val="32"/>
          <w:szCs w:val="32"/>
          <w:highlight w:val="none"/>
          <w14:textFill>
            <w14:solidFill>
              <w14:schemeClr w14:val="tx1"/>
            </w14:solidFill>
          </w14:textFill>
        </w:rPr>
      </w:pPr>
      <w:r>
        <w:rPr>
          <w:rFonts w:hint="eastAsia" w:hAnsi="黑体" w:eastAsia="黑体"/>
          <w:color w:val="000000" w:themeColor="text1"/>
          <w:spacing w:val="4"/>
          <w:sz w:val="32"/>
          <w:szCs w:val="32"/>
          <w:highlight w:val="none"/>
          <w:lang w:val="en-US" w:eastAsia="zh-CN"/>
          <w14:textFill>
            <w14:solidFill>
              <w14:schemeClr w14:val="tx1"/>
            </w14:solidFill>
          </w14:textFill>
        </w:rPr>
        <w:t>1.</w:t>
      </w:r>
      <w:r>
        <w:rPr>
          <w:rFonts w:hAnsi="黑体" w:eastAsia="黑体"/>
          <w:color w:val="000000" w:themeColor="text1"/>
          <w:spacing w:val="4"/>
          <w:sz w:val="32"/>
          <w:szCs w:val="32"/>
          <w:highlight w:val="none"/>
          <w14:textFill>
            <w14:solidFill>
              <w14:schemeClr w14:val="tx1"/>
            </w14:solidFill>
          </w14:textFill>
        </w:rPr>
        <w:t>提供更优更实更好检察产品，服务保障经济社会高质量发展</w:t>
      </w:r>
    </w:p>
    <w:p>
      <w:pPr>
        <w:tabs>
          <w:tab w:val="left" w:pos="8222"/>
        </w:tabs>
        <w:ind w:right="-59" w:rightChars="-27" w:firstLine="675" w:firstLineChars="200"/>
        <w:rPr>
          <w:rFonts w:hint="eastAsia"/>
          <w:sz w:val="32"/>
          <w:szCs w:val="32"/>
          <w:highlight w:val="none"/>
        </w:rPr>
      </w:pPr>
      <w:r>
        <w:rPr>
          <w:rFonts w:eastAsia="仿宋_GB2312"/>
          <w:b/>
          <w:color w:val="000000" w:themeColor="text1"/>
          <w:spacing w:val="8"/>
          <w:sz w:val="32"/>
          <w:szCs w:val="32"/>
          <w:highlight w:val="none"/>
          <w:shd w:val="clear" w:color="auto" w:fill="FFFFFF"/>
          <w14:textFill>
            <w14:solidFill>
              <w14:schemeClr w14:val="tx1"/>
            </w14:solidFill>
          </w14:textFill>
        </w:rPr>
        <w:t>坚决打好疫情防控总体战。</w:t>
      </w:r>
      <w:r>
        <w:rPr>
          <w:rFonts w:hint="eastAsia"/>
          <w:sz w:val="32"/>
          <w:szCs w:val="32"/>
          <w:highlight w:val="none"/>
        </w:rPr>
        <w:t>制定出台《新型冠状病毒感染肺炎疫情防控工作一级响应方案》，成立</w:t>
      </w:r>
      <w:r>
        <w:rPr>
          <w:rFonts w:hint="eastAsia"/>
          <w:sz w:val="32"/>
          <w:szCs w:val="32"/>
          <w:highlight w:val="none"/>
          <w:lang w:eastAsia="zh-CN"/>
        </w:rPr>
        <w:t>连云港市海州区人民检察院</w:t>
      </w:r>
      <w:r>
        <w:rPr>
          <w:rFonts w:hint="eastAsia"/>
          <w:sz w:val="32"/>
          <w:szCs w:val="32"/>
          <w:highlight w:val="none"/>
        </w:rPr>
        <w:t>疫情防控工作领导小组，全面抓好自身疫情防控工作。严格执行高检院《关于在防控新型冠状病毒肺炎期间刑事案件办理有关问题的指导意见》，通过“检律互动平台”为全市律师提供“零接触”阅卷服务180次，转交律师意见11条。积极响应全区党员干部投身疫情防控一线的号召，30余名检察干警下沉社区开展疫情联防联控工作，为社区、学校送去防疫物资，3个社区分别送来锦旗。全力服务保障企业复工复产，办理假口罩案件4件，对7起破坏疫情防控秩序案件提起公诉，上线运行战“疫”服务云平台，制作《企业防控疫情与延迟复工法律注意事项告知书》及配套文书，为企业解答法律难题12件。</w:t>
      </w:r>
    </w:p>
    <w:p>
      <w:pPr>
        <w:ind w:right="-53" w:rightChars="-24" w:firstLine="641"/>
        <w:rPr>
          <w:rFonts w:eastAsia="仿宋_GB2312"/>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创新打造海州检察“枫桥经验”。</w:t>
      </w:r>
      <w:r>
        <w:rPr>
          <w:rFonts w:hint="eastAsia"/>
          <w:sz w:val="32"/>
          <w:szCs w:val="32"/>
          <w:highlight w:val="none"/>
        </w:rPr>
        <w:t>推出有效化解信访矛盾的“三四五工作法”，形成轻微刑事案件、疑难信访案件会商会办调解合力，成功调解案件26件。运用检调对接菜单式服务微信平台，为当事人提供更加丰富便捷的调解服务方式，成功化解一起近20年涉军信访积案，得到省检察院刘华检察长批示肯定。与司法局会签刑事和解对接机制，利用司法行政公共法律服务网格体系的优势，整合检察机关、司法行政机关、社会组织、民间人士等社会力量，成功合作调处6起轻伤害案件。强化司法救助，发放司法救助金19.2万元，有效防范因案致贫、返贫、增贫现象。</w:t>
      </w:r>
    </w:p>
    <w:p>
      <w:pPr>
        <w:ind w:firstLine="643" w:firstLineChars="200"/>
        <w:rPr>
          <w:rFonts w:hint="eastAsia"/>
          <w:sz w:val="32"/>
          <w:szCs w:val="32"/>
          <w:highlight w:val="none"/>
        </w:rPr>
      </w:pPr>
      <w:r>
        <w:rPr>
          <w:rFonts w:eastAsia="仿宋_GB2312"/>
          <w:b/>
          <w:color w:val="000000" w:themeColor="text1"/>
          <w:sz w:val="32"/>
          <w:szCs w:val="32"/>
          <w:highlight w:val="none"/>
          <w14:textFill>
            <w14:solidFill>
              <w14:schemeClr w14:val="tx1"/>
            </w14:solidFill>
          </w14:textFill>
        </w:rPr>
        <w:t>努力实现行政争议实质性化解。</w:t>
      </w:r>
      <w:r>
        <w:rPr>
          <w:rFonts w:hint="eastAsia"/>
          <w:sz w:val="32"/>
          <w:szCs w:val="32"/>
          <w:highlight w:val="none"/>
        </w:rPr>
        <w:t>成立以检察长为组长的领导小组，形成行政检察部门牵头，各部门积极配合的一体化办案模式，综合运用公开听证、司法救助、多方调解、检察建议等手段，成功化解行政纠纷案件6件。与区司法局、开发区法院（行政审判集中管辖院）建立线索通报及联席会议制度，通过信息共享、案情通报、线索移送、联合调解等多种方式，全面了解和掌握各行政机关存在争议和纠纷情况，精准研判分析，将可能引发行政诉讼风险的案件提前化解在行政诉讼前端，有力提升行政争议化解的效果和政府公信力。建立化解案件回访制度，对已办结案件进行回访，了解争议案件化解落实情况，让人民群众切身感受到司法温情。</w:t>
      </w:r>
    </w:p>
    <w:p>
      <w:pPr>
        <w:ind w:right="-53" w:rightChars="-24" w:firstLine="641"/>
        <w:rPr>
          <w:rFonts w:hint="eastAsia"/>
          <w:sz w:val="32"/>
          <w:szCs w:val="32"/>
          <w:highlight w:val="none"/>
        </w:rPr>
      </w:pPr>
      <w:r>
        <w:rPr>
          <w:rFonts w:eastAsia="仿宋_GB2312"/>
          <w:b/>
          <w:sz w:val="32"/>
          <w:szCs w:val="32"/>
          <w:highlight w:val="none"/>
        </w:rPr>
        <w:t>服务“六稳六保”护航民企发展。</w:t>
      </w:r>
      <w:r>
        <w:rPr>
          <w:rFonts w:hint="eastAsia"/>
          <w:sz w:val="32"/>
          <w:szCs w:val="32"/>
          <w:highlight w:val="none"/>
        </w:rPr>
        <w:t>依法保障民营企业合法权益，坚持少捕慎诉慎押理念，对涉罪民营企业及时进行研判，充分考虑企业的规模、经营现状、发展前景等因素，对涉罪民企相关负责人不批捕、不起诉23人，通过监督一起串通投标案，盘活了国有不良资产，解决了长期存在的重大安全隐患，保障了“尾矿砂”项目后期开发的良好运行。延伸检察职能为民企发展提供检察助力，与海州经济开发区管委会共建 “海州区非公企业法律服务中心”，开通“非公经济服务”热线电话和“非公经济服务”移动检务平台，发送公益短信2万余条，发布法律服务信息4000余条，为企业提供有价值意见38条。走进企业开展普法宣传和法律咨询服务，召开企业家座谈会，开展“防合同诈骗”“防偷漏税”主题警示教育小课堂，“服务‘六稳’‘六保’护航民企发展”检察开放日等，得到企业代表们一致好评。</w:t>
      </w:r>
    </w:p>
    <w:p>
      <w:pPr>
        <w:ind w:right="-53" w:rightChars="-24" w:firstLine="641"/>
        <w:rPr>
          <w:rFonts w:eastAsia="黑体"/>
          <w:sz w:val="32"/>
          <w:szCs w:val="32"/>
          <w:highlight w:val="none"/>
        </w:rPr>
      </w:pPr>
      <w:r>
        <w:rPr>
          <w:rFonts w:hint="eastAsia" w:hAnsi="黑体" w:eastAsia="黑体"/>
          <w:sz w:val="32"/>
          <w:szCs w:val="32"/>
          <w:highlight w:val="none"/>
          <w:lang w:val="en-US" w:eastAsia="zh-CN"/>
        </w:rPr>
        <w:t>2.</w:t>
      </w:r>
      <w:r>
        <w:rPr>
          <w:rFonts w:hint="eastAsia" w:hAnsi="黑体" w:eastAsia="黑体"/>
          <w:sz w:val="30"/>
          <w:szCs w:val="30"/>
          <w:highlight w:val="none"/>
        </w:rPr>
        <w:t>切实</w:t>
      </w:r>
      <w:r>
        <w:rPr>
          <w:rFonts w:hAnsi="黑体" w:eastAsia="黑体"/>
          <w:sz w:val="30"/>
          <w:szCs w:val="30"/>
          <w:highlight w:val="none"/>
        </w:rPr>
        <w:t>提升办案质效</w:t>
      </w:r>
      <w:r>
        <w:rPr>
          <w:rFonts w:hint="eastAsia" w:hAnsi="黑体" w:eastAsia="黑体"/>
          <w:sz w:val="30"/>
          <w:szCs w:val="30"/>
          <w:highlight w:val="none"/>
        </w:rPr>
        <w:t>，不断增强人民群众的获得感、幸福感、安全感</w:t>
      </w:r>
    </w:p>
    <w:p>
      <w:pPr>
        <w:ind w:right="-53" w:rightChars="-24" w:firstLine="641"/>
        <w:rPr>
          <w:rFonts w:hint="eastAsia"/>
          <w:sz w:val="32"/>
          <w:szCs w:val="32"/>
          <w:highlight w:val="none"/>
        </w:rPr>
      </w:pPr>
      <w:r>
        <w:rPr>
          <w:rFonts w:hint="eastAsia" w:eastAsia="仿宋_GB2312"/>
          <w:b/>
          <w:sz w:val="32"/>
          <w:szCs w:val="32"/>
          <w:highlight w:val="none"/>
        </w:rPr>
        <w:t>持续</w:t>
      </w:r>
      <w:r>
        <w:rPr>
          <w:rFonts w:eastAsia="仿宋_GB2312"/>
          <w:b/>
          <w:sz w:val="32"/>
          <w:szCs w:val="32"/>
          <w:highlight w:val="none"/>
        </w:rPr>
        <w:t>增强司法办案温度。</w:t>
      </w:r>
      <w:r>
        <w:rPr>
          <w:rFonts w:hint="eastAsia"/>
          <w:sz w:val="32"/>
          <w:szCs w:val="32"/>
          <w:highlight w:val="none"/>
        </w:rPr>
        <w:t>坚持以人民为中心，严厉打击各类严重刑事犯罪，办理故意杀人、抢劫、放火等八类严重刑事犯罪案件147件175人，严厉打击破坏社会主义市场经济秩序犯罪，办理了苏北地区首例洗钱犯罪案件，全力保障人民群众的生命财产安全。努力办好人民群众关心的每一起小案，每一起小案对老百姓来说就是天大的事，就是天大的案件。我院在办案中努力做到法理情融合，想群众之所想，急群众之所急，努力让人民群众在每一起案件中感受到公平正义。2020年共办理轻微刑事案件483件514人，适用认罪认罚从宽718件1037人，最大限度促进社会和谐稳定。</w:t>
      </w:r>
    </w:p>
    <w:p>
      <w:pPr>
        <w:ind w:right="-53" w:rightChars="-24" w:firstLine="641"/>
        <w:rPr>
          <w:rFonts w:hint="eastAsia"/>
          <w:sz w:val="32"/>
          <w:szCs w:val="32"/>
          <w:highlight w:val="none"/>
        </w:rPr>
      </w:pPr>
      <w:r>
        <w:rPr>
          <w:rFonts w:eastAsia="仿宋_GB2312"/>
          <w:b/>
          <w:sz w:val="32"/>
          <w:szCs w:val="32"/>
          <w:highlight w:val="none"/>
        </w:rPr>
        <w:t>坚决打好扫黑除恶专项斗争收官战。</w:t>
      </w:r>
      <w:r>
        <w:rPr>
          <w:rFonts w:hint="eastAsia"/>
          <w:sz w:val="32"/>
          <w:szCs w:val="32"/>
          <w:highlight w:val="none"/>
        </w:rPr>
        <w:t>坚持涉黑涉恶一个不放过，一个不凑数，成功起诉中央督导组督办、省扫黑办挂牌督办的苗某等33人黑社会性质组织案、张某某等15人恶势力犯罪集团案、谢某某等人恶势力犯罪团伙案。通过检察建议强化行业监管，就案件中发现的烟花爆竹行业管理问题，向市应急管理局、东海县应急管理局制发检察建议，获市委政法委书记王立斌批示肯定。根据涉恶案件拍摄的《亮剑村霸》获第五届平安江苏“三微”比赛视频类三等奖，全省检察机关优秀办案故事短视频优秀奖。</w:t>
      </w:r>
    </w:p>
    <w:p>
      <w:pPr>
        <w:widowControl/>
        <w:ind w:firstLine="643" w:firstLineChars="200"/>
        <w:rPr>
          <w:rFonts w:hint="eastAsia"/>
          <w:sz w:val="32"/>
          <w:szCs w:val="32"/>
          <w:highlight w:val="none"/>
        </w:rPr>
      </w:pPr>
      <w:r>
        <w:rPr>
          <w:rFonts w:hint="eastAsia" w:eastAsia="仿宋_GB2312"/>
          <w:b/>
          <w:sz w:val="32"/>
          <w:szCs w:val="32"/>
          <w:highlight w:val="none"/>
        </w:rPr>
        <w:t>牢固树立</w:t>
      </w:r>
      <w:r>
        <w:rPr>
          <w:rFonts w:eastAsia="仿宋_GB2312"/>
          <w:b/>
          <w:sz w:val="32"/>
          <w:szCs w:val="32"/>
          <w:highlight w:val="none"/>
        </w:rPr>
        <w:t>司法办案精品意识。</w:t>
      </w:r>
      <w:r>
        <w:rPr>
          <w:rFonts w:eastAsia="仿宋_GB2312"/>
          <w:sz w:val="32"/>
          <w:szCs w:val="32"/>
          <w:highlight w:val="none"/>
        </w:rPr>
        <w:t>检</w:t>
      </w:r>
      <w:r>
        <w:rPr>
          <w:rFonts w:hint="eastAsia"/>
          <w:sz w:val="32"/>
          <w:szCs w:val="32"/>
          <w:highlight w:val="none"/>
        </w:rPr>
        <w:t>察办案要秉持工匠精神，要以求极致的态度精心打磨每一起案件，让人民群众对检察工作有更强的获得感。2020年，我院办理的一起许某某监督撤案案件被最高人民检察院评为指导性案例，实现了连云港检察史上全国指导性案例零的突破。办理的英某行政争议化解公开听证案被最高人民检察院评为典型案例，办理的1起运用信息化技术支撑的方某危险驾驶案被最高人民检察院评为技术办案优秀案例，办理的《新型“区块链”式虚拟货币组织、领导传销活动案》被评为全省检察机关十大法律监督案件和第三届全市执法司法十大典型案例，2起案件在省院新闻发布会上发布。</w:t>
      </w:r>
    </w:p>
    <w:p>
      <w:pPr>
        <w:widowControl/>
        <w:ind w:firstLine="639" w:firstLineChars="199"/>
        <w:rPr>
          <w:rFonts w:hint="eastAsia"/>
          <w:sz w:val="32"/>
          <w:szCs w:val="32"/>
          <w:highlight w:val="none"/>
        </w:rPr>
      </w:pPr>
      <w:r>
        <w:rPr>
          <w:rFonts w:hint="eastAsia" w:eastAsia="仿宋_GB2312"/>
          <w:b/>
          <w:color w:val="000000" w:themeColor="text1"/>
          <w:sz w:val="32"/>
          <w:szCs w:val="32"/>
          <w:highlight w:val="none"/>
          <w14:textFill>
            <w14:solidFill>
              <w14:schemeClr w14:val="tx1"/>
            </w14:solidFill>
          </w14:textFill>
        </w:rPr>
        <w:t>精心守护</w:t>
      </w:r>
      <w:r>
        <w:rPr>
          <w:rFonts w:eastAsia="仿宋_GB2312"/>
          <w:b/>
          <w:color w:val="000000" w:themeColor="text1"/>
          <w:sz w:val="32"/>
          <w:szCs w:val="32"/>
          <w:highlight w:val="none"/>
          <w14:textFill>
            <w14:solidFill>
              <w14:schemeClr w14:val="tx1"/>
            </w14:solidFill>
          </w14:textFill>
        </w:rPr>
        <w:t>未成年人</w:t>
      </w:r>
      <w:r>
        <w:rPr>
          <w:rFonts w:hint="eastAsia" w:eastAsia="仿宋_GB2312"/>
          <w:b/>
          <w:color w:val="000000" w:themeColor="text1"/>
          <w:sz w:val="32"/>
          <w:szCs w:val="32"/>
          <w:highlight w:val="none"/>
          <w14:textFill>
            <w14:solidFill>
              <w14:schemeClr w14:val="tx1"/>
            </w14:solidFill>
          </w14:textFill>
        </w:rPr>
        <w:t>健康成长</w:t>
      </w:r>
      <w:r>
        <w:rPr>
          <w:rFonts w:eastAsia="仿宋_GB2312"/>
          <w:b/>
          <w:color w:val="000000" w:themeColor="text1"/>
          <w:sz w:val="32"/>
          <w:szCs w:val="32"/>
          <w:highlight w:val="none"/>
          <w14:textFill>
            <w14:solidFill>
              <w14:schemeClr w14:val="tx1"/>
            </w14:solidFill>
          </w14:textFill>
        </w:rPr>
        <w:t>。</w:t>
      </w:r>
      <w:r>
        <w:rPr>
          <w:rFonts w:hint="eastAsia"/>
          <w:sz w:val="32"/>
          <w:szCs w:val="32"/>
          <w:highlight w:val="none"/>
        </w:rPr>
        <w:t>未成年人身心健康关系到千家万户，关系到祖国的未来和希望，严厉打击侵害未成年人犯罪，检察机关责无旁贷。2020年共办理涉及未成年人刑事案件50件86人。注重保护未成年人合法权益，建立一站式保护体系，提前介入、引导公安机关办理性侵类案件17件，开展社会调查244次，法律援助27件，救助未成年被害人8人，出庭支持6起关于申请撤销、变更监护权、抚养费给付等案件。联合第四人民医院、司法社工开展心理疏导344次。督促海州公安分局、区市场监督管理局、文化体育旅游局、人社局等单位依法对辖区内网吧、KTV、酒吧等娱乐场所开展联合检查和专项整治行动，集中关停5家违规接纳未成年人进行有偿陪侍等情况的娱乐场所。</w:t>
      </w:r>
    </w:p>
    <w:p>
      <w:pPr>
        <w:spacing w:line="520" w:lineRule="exact"/>
        <w:ind w:firstLine="640" w:firstLineChars="200"/>
        <w:rPr>
          <w:rFonts w:hAnsi="黑体" w:eastAsia="黑体"/>
          <w:color w:val="000000" w:themeColor="text1"/>
          <w:sz w:val="30"/>
          <w:szCs w:val="30"/>
          <w:highlight w:val="none"/>
          <w14:textFill>
            <w14:solidFill>
              <w14:schemeClr w14:val="tx1"/>
            </w14:solidFill>
          </w14:textFill>
        </w:rPr>
      </w:pPr>
      <w:r>
        <w:rPr>
          <w:rFonts w:hint="eastAsia" w:hAnsi="黑体" w:eastAsia="黑体"/>
          <w:color w:val="000000" w:themeColor="text1"/>
          <w:sz w:val="32"/>
          <w:szCs w:val="32"/>
          <w:highlight w:val="none"/>
          <w:lang w:val="en-US" w:eastAsia="zh-CN"/>
          <w14:textFill>
            <w14:solidFill>
              <w14:schemeClr w14:val="tx1"/>
            </w14:solidFill>
          </w14:textFill>
        </w:rPr>
        <w:t>3.</w:t>
      </w:r>
      <w:r>
        <w:rPr>
          <w:rFonts w:hint="eastAsia" w:hAnsi="黑体" w:eastAsia="黑体"/>
          <w:color w:val="000000" w:themeColor="text1"/>
          <w:sz w:val="30"/>
          <w:szCs w:val="30"/>
          <w:highlight w:val="none"/>
          <w14:textFill>
            <w14:solidFill>
              <w14:schemeClr w14:val="tx1"/>
            </w14:solidFill>
          </w14:textFill>
        </w:rPr>
        <w:t>依法</w:t>
      </w:r>
      <w:r>
        <w:rPr>
          <w:rFonts w:hAnsi="黑体" w:eastAsia="黑体"/>
          <w:color w:val="000000" w:themeColor="text1"/>
          <w:sz w:val="30"/>
          <w:szCs w:val="30"/>
          <w:highlight w:val="none"/>
          <w14:textFill>
            <w14:solidFill>
              <w14:schemeClr w14:val="tx1"/>
            </w14:solidFill>
          </w14:textFill>
        </w:rPr>
        <w:t>履行法律监督职能，</w:t>
      </w:r>
      <w:r>
        <w:rPr>
          <w:rFonts w:hint="eastAsia" w:hAnsi="黑体" w:eastAsia="黑体"/>
          <w:color w:val="000000" w:themeColor="text1"/>
          <w:sz w:val="30"/>
          <w:szCs w:val="30"/>
          <w:highlight w:val="none"/>
          <w14:textFill>
            <w14:solidFill>
              <w14:schemeClr w14:val="tx1"/>
            </w14:solidFill>
          </w14:textFill>
        </w:rPr>
        <w:t>全面营造宜商、宜居、宜业的法治环境</w:t>
      </w:r>
    </w:p>
    <w:p>
      <w:pPr>
        <w:tabs>
          <w:tab w:val="left" w:pos="8222"/>
        </w:tabs>
        <w:ind w:right="-59" w:rightChars="-27" w:firstLine="640" w:firstLineChars="200"/>
        <w:rPr>
          <w:rFonts w:hint="eastAsia"/>
          <w:sz w:val="32"/>
          <w:szCs w:val="32"/>
          <w:highlight w:val="none"/>
        </w:rPr>
      </w:pPr>
      <w:r>
        <w:rPr>
          <w:rFonts w:hint="eastAsia"/>
          <w:sz w:val="32"/>
          <w:szCs w:val="32"/>
          <w:highlight w:val="none"/>
        </w:rPr>
        <w:t>2020年以来，共批准逮捕各类刑事犯罪案件270件474人，起诉731件1228人，办理监察机关移送起诉职务犯罪案件17件18人，其中办理的谢某某单位行贿案获评全省职务犯罪精品案例。</w:t>
      </w:r>
    </w:p>
    <w:p>
      <w:pPr>
        <w:ind w:firstLine="643" w:firstLineChars="200"/>
        <w:rPr>
          <w:rFonts w:eastAsia="仿宋_GB2312"/>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做优刑事检察监督。</w:t>
      </w:r>
      <w:r>
        <w:rPr>
          <w:rFonts w:hint="eastAsia"/>
          <w:sz w:val="32"/>
          <w:szCs w:val="32"/>
          <w:highlight w:val="none"/>
        </w:rPr>
        <w:t>强化重大案件提前介入引导侦查，降低案-件比，增强案件质效，提升人民群众满意度。积极推进认罪认罚从宽制度适用，推动量刑建议规范化。牢固树立侦查监督、审判监督都是为了更好更全面地打击犯罪的双赢多赢共赢理念，坚持在办案中监督，在监督中办案，共监督立案8件13人，监督撤案19件28人，纠正侦查、审判违法29件，办理违法执行案件11件，发出检察建议7件。坚守防止冤假错案底线，严格把握逮捕、起诉标准，不批准逮捕74件196人，不起诉163件254人。</w:t>
      </w:r>
    </w:p>
    <w:p>
      <w:pPr>
        <w:ind w:firstLine="643" w:firstLineChars="200"/>
        <w:rPr>
          <w:rFonts w:hint="eastAsia"/>
          <w:sz w:val="32"/>
          <w:szCs w:val="32"/>
          <w:highlight w:val="none"/>
        </w:rPr>
      </w:pPr>
      <w:r>
        <w:rPr>
          <w:rFonts w:hint="eastAsia" w:eastAsia="仿宋_GB2312"/>
          <w:b/>
          <w:color w:val="000000" w:themeColor="text1"/>
          <w:sz w:val="32"/>
          <w:szCs w:val="32"/>
          <w:highlight w:val="none"/>
          <w14:textFill>
            <w14:solidFill>
              <w14:schemeClr w14:val="tx1"/>
            </w14:solidFill>
          </w14:textFill>
        </w:rPr>
        <w:t>做强民事检察监督。</w:t>
      </w:r>
      <w:r>
        <w:rPr>
          <w:rFonts w:hint="eastAsia"/>
          <w:sz w:val="32"/>
          <w:szCs w:val="32"/>
          <w:highlight w:val="none"/>
        </w:rPr>
        <w:t>以司法办案为中心，以精准监督为导向，进一步更新监督理念，紧跟新时代民事检察工作创新发展的步伐。2020年，受理民事检察监督案件33件，提请市院抗诉2件，发出再审检察建议6件，发出民事执行监督检察建议13件，发出审判活动违法监督案件15件。其中主动发现线索并提请市院抗诉的涉案550万元虚假诉讼民事案件被法院依法改判，同时将涉嫌虚假诉讼罪的案件线索移送公安机关，目前该案3名涉及虚假诉讼的犯罪嫌疑人均被作出有罪判决。</w:t>
      </w:r>
    </w:p>
    <w:p>
      <w:pPr>
        <w:ind w:firstLine="643" w:firstLineChars="200"/>
        <w:rPr>
          <w:rFonts w:hint="eastAsia"/>
          <w:sz w:val="32"/>
          <w:szCs w:val="32"/>
          <w:highlight w:val="none"/>
        </w:rPr>
      </w:pPr>
      <w:r>
        <w:rPr>
          <w:rFonts w:hint="eastAsia" w:eastAsia="仿宋_GB2312"/>
          <w:b/>
          <w:color w:val="000000" w:themeColor="text1"/>
          <w:sz w:val="32"/>
          <w:szCs w:val="32"/>
          <w:highlight w:val="none"/>
          <w14:textFill>
            <w14:solidFill>
              <w14:schemeClr w14:val="tx1"/>
            </w14:solidFill>
          </w14:textFill>
        </w:rPr>
        <w:t>做实行政检察监督。</w:t>
      </w:r>
      <w:r>
        <w:rPr>
          <w:rFonts w:hint="eastAsia"/>
          <w:sz w:val="32"/>
          <w:szCs w:val="32"/>
          <w:highlight w:val="none"/>
        </w:rPr>
        <w:t>与区司法局会签《关于加强行政检察与行政执法监督衔接，促进海州区行政争议实质性化解工作机制》，办理行政争议案件9件，实质性化解6件。其中1起案件被最高人民检察院评为行政诉讼监督案件公开听证典型案例，1起案件作为典型案例被全省检察机关行政争议实质性化解新闻发布会发布，并参加现场发布会介绍办案经验做法。办理行政审判人员违法行为监督案件5件，非诉行政执行监督案件11件。</w:t>
      </w:r>
    </w:p>
    <w:p>
      <w:pPr>
        <w:ind w:firstLine="643" w:firstLineChars="200"/>
        <w:rPr>
          <w:rFonts w:hint="eastAsia"/>
          <w:sz w:val="32"/>
          <w:szCs w:val="32"/>
          <w:highlight w:val="none"/>
        </w:rPr>
      </w:pPr>
      <w:r>
        <w:rPr>
          <w:rFonts w:hint="eastAsia" w:eastAsia="仿宋_GB2312"/>
          <w:b/>
          <w:sz w:val="32"/>
          <w:szCs w:val="32"/>
          <w:highlight w:val="none"/>
        </w:rPr>
        <w:t>做好公益诉讼检察</w:t>
      </w:r>
      <w:r>
        <w:rPr>
          <w:rFonts w:eastAsia="仿宋_GB2312"/>
          <w:b/>
          <w:sz w:val="32"/>
          <w:szCs w:val="32"/>
          <w:highlight w:val="none"/>
        </w:rPr>
        <w:t>。</w:t>
      </w:r>
      <w:r>
        <w:rPr>
          <w:rFonts w:hint="eastAsia"/>
          <w:sz w:val="32"/>
          <w:szCs w:val="32"/>
          <w:highlight w:val="none"/>
        </w:rPr>
        <w:t>坚持绿水青山就是金山银山的理念，严厉打击污染破坏环境的犯罪行为，办理污染环境案、非法采矿案等6件38人。与连云港报业传媒集团合作出台《关于建立新闻媒体和检察机关公益诉讼协作机制的若干意见》，与海州区城市管理局、生态环境局、农业农村局共同出台《关于建立海州区湿地生态环境保护公益诉讼协作工作机制的意见》等，进一步拓展公益诉讼线索收集渠道。研发使用公益诉讼智能辅助办案平台破解公益诉讼线索收集难题，获评2020全国政法智能化建设智慧检务优秀创新案例。疫情期间，根据平台推送的快递运输医用消毒酒精线索，办理的督促市邮政局依法履职案，被《检察日报》头版报道。坚持双赢多赢共赢理念，加强与行政机关的沟通协作，发出行政公益诉讼诉前检察建议92件，其中涉农等公益诉讼等外领域案件17件，助推农村公共空间治理，该做法被省委改革办肯定推广。</w:t>
      </w:r>
    </w:p>
    <w:p>
      <w:pPr>
        <w:spacing w:line="520" w:lineRule="exact"/>
        <w:ind w:firstLine="640" w:firstLineChars="200"/>
        <w:rPr>
          <w:rFonts w:eastAsia="黑体"/>
          <w:color w:val="000000" w:themeColor="text1"/>
          <w:sz w:val="32"/>
          <w:szCs w:val="32"/>
          <w:highlight w:val="none"/>
          <w14:textFill>
            <w14:solidFill>
              <w14:schemeClr w14:val="tx1"/>
            </w14:solidFill>
          </w14:textFill>
        </w:rPr>
      </w:pPr>
      <w:r>
        <w:rPr>
          <w:rFonts w:hint="eastAsia" w:hAnsi="黑体" w:eastAsia="黑体"/>
          <w:color w:val="000000" w:themeColor="text1"/>
          <w:sz w:val="32"/>
          <w:szCs w:val="32"/>
          <w:highlight w:val="none"/>
          <w:lang w:val="en-US" w:eastAsia="zh-CN"/>
          <w14:textFill>
            <w14:solidFill>
              <w14:schemeClr w14:val="tx1"/>
            </w14:solidFill>
          </w14:textFill>
        </w:rPr>
        <w:t>4.</w:t>
      </w:r>
      <w:r>
        <w:rPr>
          <w:rFonts w:hint="eastAsia" w:hAnsi="黑体" w:eastAsia="黑体"/>
          <w:color w:val="000000" w:themeColor="text1"/>
          <w:sz w:val="32"/>
          <w:szCs w:val="32"/>
          <w:highlight w:val="none"/>
          <w14:textFill>
            <w14:solidFill>
              <w14:schemeClr w14:val="tx1"/>
            </w14:solidFill>
          </w14:textFill>
        </w:rPr>
        <w:t>坚持党建与业务深度融合，通过</w:t>
      </w:r>
      <w:r>
        <w:rPr>
          <w:rFonts w:hAnsi="黑体" w:eastAsia="黑体"/>
          <w:color w:val="000000" w:themeColor="text1"/>
          <w:sz w:val="32"/>
          <w:szCs w:val="32"/>
          <w:highlight w:val="none"/>
          <w14:textFill>
            <w14:solidFill>
              <w14:schemeClr w14:val="tx1"/>
            </w14:solidFill>
          </w14:textFill>
        </w:rPr>
        <w:t>严管厚爱锻造一流检察队伍</w:t>
      </w:r>
    </w:p>
    <w:p>
      <w:pPr>
        <w:ind w:firstLine="643" w:firstLineChars="200"/>
        <w:rPr>
          <w:rFonts w:hint="eastAsia"/>
          <w:sz w:val="32"/>
          <w:szCs w:val="32"/>
          <w:highlight w:val="none"/>
        </w:rPr>
      </w:pPr>
      <w:r>
        <w:rPr>
          <w:rFonts w:eastAsia="仿宋_GB2312"/>
          <w:b/>
          <w:color w:val="000000" w:themeColor="text1"/>
          <w:sz w:val="32"/>
          <w:szCs w:val="32"/>
          <w:highlight w:val="none"/>
          <w14:textFill>
            <w14:solidFill>
              <w14:schemeClr w14:val="tx1"/>
            </w14:solidFill>
          </w14:textFill>
        </w:rPr>
        <w:t>全面加强</w:t>
      </w:r>
      <w:r>
        <w:rPr>
          <w:rFonts w:hint="eastAsia" w:eastAsia="仿宋_GB2312"/>
          <w:b/>
          <w:color w:val="000000" w:themeColor="text1"/>
          <w:sz w:val="32"/>
          <w:szCs w:val="32"/>
          <w:highlight w:val="none"/>
          <w14:textFill>
            <w14:solidFill>
              <w14:schemeClr w14:val="tx1"/>
            </w14:solidFill>
          </w14:textFill>
        </w:rPr>
        <w:t>新时代党的</w:t>
      </w:r>
      <w:r>
        <w:rPr>
          <w:rFonts w:eastAsia="仿宋_GB2312"/>
          <w:b/>
          <w:color w:val="000000" w:themeColor="text1"/>
          <w:sz w:val="32"/>
          <w:szCs w:val="32"/>
          <w:highlight w:val="none"/>
          <w14:textFill>
            <w14:solidFill>
              <w14:schemeClr w14:val="tx1"/>
            </w14:solidFill>
          </w14:textFill>
        </w:rPr>
        <w:t>政治建设。</w:t>
      </w:r>
      <w:r>
        <w:rPr>
          <w:rFonts w:hint="eastAsia"/>
          <w:sz w:val="32"/>
          <w:szCs w:val="32"/>
          <w:highlight w:val="none"/>
        </w:rPr>
        <w:t>以市委政法委政治督察为契机，从坚定政治信仰、坚持党的领导、提高政治能力、净化政治生态四方面，对标对表进行全面深入梳理排查。针对督察组指出的问题和不足，列明清单，明确到人，对账销号，坚决做到立行立改，即知即改。经过这一轮政治督察，全院干警进一步坚定“四个自信”，坚持法治思维，全面加强政治能力建设，提升政治判断力、政治领悟力和政治执行力，以新时代检察机关党的建设更高标准、更优质量，推进海州检察创新发展。</w:t>
      </w:r>
    </w:p>
    <w:p>
      <w:pPr>
        <w:ind w:firstLine="643" w:firstLineChars="200"/>
        <w:rPr>
          <w:rFonts w:eastAsia="仿宋_GB2312"/>
          <w:color w:val="000000" w:themeColor="text1"/>
          <w:sz w:val="32"/>
          <w:szCs w:val="32"/>
          <w:highlight w:val="none"/>
          <w14:textFill>
            <w14:solidFill>
              <w14:schemeClr w14:val="tx1"/>
            </w14:solidFill>
          </w14:textFill>
        </w:rPr>
      </w:pPr>
      <w:r>
        <w:rPr>
          <w:rFonts w:hint="eastAsia" w:eastAsia="仿宋_GB2312"/>
          <w:b/>
          <w:color w:val="000000" w:themeColor="text1"/>
          <w:sz w:val="32"/>
          <w:szCs w:val="32"/>
          <w:highlight w:val="none"/>
          <w14:textFill>
            <w14:solidFill>
              <w14:schemeClr w14:val="tx1"/>
            </w14:solidFill>
          </w14:textFill>
        </w:rPr>
        <w:t>深入</w:t>
      </w:r>
      <w:r>
        <w:rPr>
          <w:rFonts w:eastAsia="仿宋_GB2312"/>
          <w:b/>
          <w:color w:val="000000" w:themeColor="text1"/>
          <w:sz w:val="32"/>
          <w:szCs w:val="32"/>
          <w:highlight w:val="none"/>
          <w14:textFill>
            <w14:solidFill>
              <w14:schemeClr w14:val="tx1"/>
            </w14:solidFill>
          </w14:textFill>
        </w:rPr>
        <w:t>推进党建与业务融合发展。</w:t>
      </w:r>
      <w:r>
        <w:rPr>
          <w:rFonts w:hint="eastAsia"/>
          <w:sz w:val="32"/>
          <w:szCs w:val="32"/>
          <w:highlight w:val="none"/>
        </w:rPr>
        <w:t>坚持党建引领，制定《2020年党建工作实施方案》、《2020年推进“三个表率”模范机关建设方案》，开展检察长上党课、时代楷模先进事迹报告会、军旅讲述会等多种形式教育活动，强化干警党性意识。通过专业培训、理论研讨、小课堂评比等多种措施提升检察干警素质，提高司法办案水平。以接受全市机关“高质发展决战决胜突击队”党建品牌创建观摩为动力，增强政治意识，加强党建工作，打造党建品牌。组织80名党员干警下沉一线配合共建社区开展创文活动，先后投入10万余元为文明城市创建提供资金、物品扶持，帮助其解决困难。院党组织被评定为“五星级”机关党组织，“蓝海湾”未成年人护航港党建品牌荣获区级机关十佳党建品牌。</w:t>
      </w:r>
    </w:p>
    <w:p>
      <w:pPr>
        <w:ind w:right="-53" w:rightChars="-24" w:firstLine="641"/>
        <w:rPr>
          <w:rFonts w:hint="eastAsia"/>
          <w:sz w:val="32"/>
          <w:szCs w:val="32"/>
          <w:highlight w:val="none"/>
        </w:rPr>
      </w:pPr>
      <w:r>
        <w:rPr>
          <w:rFonts w:eastAsia="仿宋_GB2312"/>
          <w:b/>
          <w:color w:val="000000" w:themeColor="text1"/>
          <w:sz w:val="32"/>
          <w:szCs w:val="32"/>
          <w:highlight w:val="none"/>
          <w14:textFill>
            <w14:solidFill>
              <w14:schemeClr w14:val="tx1"/>
            </w14:solidFill>
          </w14:textFill>
        </w:rPr>
        <w:t>坚决筑牢纪律红线。</w:t>
      </w:r>
      <w:r>
        <w:rPr>
          <w:rFonts w:hint="eastAsia"/>
          <w:sz w:val="32"/>
          <w:szCs w:val="32"/>
          <w:highlight w:val="none"/>
        </w:rPr>
        <w:t>积极响应习近平总书记关于勤俭节约重要指示，制定《厉行勤俭节约、杜绝餐饮浪费》倡议书，运用LED电子屏、宣传画报、微信等多种形式引导干警在用餐、用水、用材等方面做到厉行节俭，努力形成勤俭节约良好风尚。案件办理中，常态化落实“三个规定”及重大事项报告制度，出台相关《实施细则(试行)》，已完成填报22人次。贯彻落实 “四条纪律”，签订《拒绝“违规吃喝”承诺书》，制作动漫《检察人员的防腐“铠甲”》，警示干警时刻守住法律底线、纪律红线。</w:t>
      </w:r>
    </w:p>
    <w:p>
      <w:pPr>
        <w:ind w:right="-53" w:rightChars="-24" w:firstLine="641"/>
        <w:rPr>
          <w:rFonts w:hint="eastAsia"/>
          <w:sz w:val="32"/>
          <w:szCs w:val="32"/>
          <w:highlight w:val="none"/>
        </w:rPr>
      </w:pPr>
      <w:r>
        <w:rPr>
          <w:rFonts w:hint="eastAsia" w:eastAsia="仿宋_GB2312"/>
          <w:b/>
          <w:sz w:val="32"/>
          <w:szCs w:val="32"/>
          <w:highlight w:val="none"/>
        </w:rPr>
        <w:t>自觉</w:t>
      </w:r>
      <w:r>
        <w:rPr>
          <w:rFonts w:eastAsia="仿宋_GB2312"/>
          <w:b/>
          <w:sz w:val="32"/>
          <w:szCs w:val="32"/>
          <w:highlight w:val="none"/>
        </w:rPr>
        <w:t>主动接受监督。</w:t>
      </w:r>
      <w:r>
        <w:rPr>
          <w:rFonts w:hint="eastAsia"/>
          <w:sz w:val="32"/>
          <w:szCs w:val="32"/>
          <w:highlight w:val="none"/>
        </w:rPr>
        <w:t>接受市人大常委会专题调研公益诉讼工作，向区人大常委会专题汇报检察信息化工作开展情况。6名员额检察官积极接受区人大常委会评议。邀请人大代表、政协委员参加“同舟共济，检护明天”、“学习习近平法治思想 强化新时代法律监督”等检察开放日活动，列席拟不起诉、司法救助、公益诉讼等案件的公开听证会。应基层代表建议，深入镇、街道、园区开展“心中有法，检察同行” 普法宣传活动21次，受众1500余人。通过代表委员联络平台发布工作动态214条，发布案件信息345件。不断深化检务公开，主动公开法律文书947件，案件程序性信息1921条，通过媒体宣传检察工作418次，创作新媒体作品5部，有力传递了检察工作正能量。</w:t>
      </w:r>
    </w:p>
    <w:p>
      <w:pPr>
        <w:ind w:right="-53" w:rightChars="-24" w:firstLine="641"/>
        <w:rPr>
          <w:rFonts w:hint="eastAsia"/>
          <w:sz w:val="32"/>
          <w:szCs w:val="32"/>
          <w:highlight w:val="none"/>
        </w:rPr>
      </w:pPr>
      <w:r>
        <w:rPr>
          <w:rFonts w:hint="eastAsia"/>
          <w:sz w:val="32"/>
          <w:szCs w:val="32"/>
          <w:highlight w:val="none"/>
        </w:rPr>
        <w:t>2020年，经过全院干警的共同努力，海州区检察院取得了较好的成绩，有3项工作得到省委办、省委改革办肯定推广，有1项工作得到省检察院通报表扬，有6项工作得到省检察院、市委领导的批示肯定。被评为全国检察宣传先进单位、江苏政法新闻报道先进单位、全省检察机关示范办案中心、全市先进检察院、全市工人先锋号、全区宣传思想文化工作优秀单位、五星级党组织等，涌现出一批先进个人，1名干警被评为全省优秀公诉人，1名干警荣记二等功等。</w:t>
      </w:r>
    </w:p>
    <w:p>
      <w:pPr>
        <w:ind w:firstLine="640" w:firstLineChars="200"/>
        <w:rPr>
          <w:rFonts w:hint="eastAsia"/>
          <w:sz w:val="32"/>
          <w:szCs w:val="32"/>
          <w:highlight w:val="none"/>
        </w:rPr>
      </w:pPr>
      <w:r>
        <w:rPr>
          <w:rFonts w:hint="eastAsia"/>
          <w:sz w:val="32"/>
          <w:szCs w:val="32"/>
          <w:highlight w:val="none"/>
        </w:rPr>
        <w:t>在看到成绩的同时，我们也清醒地认识到检察工作仍存在短板和不足：一是面对国家治理体系和治理能力现代化建设的新要求，四大检察职能发挥还需要进一步强化；二是面对经济社会发展的新形势，司法办案的理念还需要进一步转变；三是面对人民群众的新期待，检察工作服务民生的举措还需要进一步深化；四是面对新时代检察工作发展要求，专家型、领军型人才培养还需要进一步加强。对于这些问题，我们将采取有效措施，切实加以改进。</w:t>
      </w:r>
    </w:p>
    <w:p>
      <w:pPr>
        <w:ind w:firstLine="640" w:firstLineChars="200"/>
        <w:rPr>
          <w:rFonts w:hint="eastAsia"/>
          <w:sz w:val="32"/>
          <w:szCs w:val="32"/>
          <w:highlight w:val="none"/>
        </w:rPr>
      </w:pPr>
      <w:r>
        <w:rPr>
          <w:rFonts w:hint="eastAsia"/>
          <w:sz w:val="32"/>
          <w:szCs w:val="32"/>
          <w:highlight w:val="none"/>
        </w:rPr>
        <w:t>2021年，海州区检察院坚持以习近平新时代中国特色社会主义思想为指导，深入贯彻落实党的十九大、十九届二中、三中、四中、五中全会精神和全国、全省基层检察院建设工作会议精神，落实“讲政治、顾大局、谋发展、重自强”总体要求，紧紧围绕服务保障区委“四区”建设、“七个首战首胜”的工作目标，进一步强化政治担当，提升政治素养；强化大局观念，提升服务保障能力；强化办案理念，提升司法办案水平；强化法律监督，提升检察监督质效；强化创新创优，提升海州检察特色品牌效应；强化队伍建设，提升队伍凝聚力战斗力，坚持率先领先、跨越超越，奋力开创海州检察高质发展新篇章。</w:t>
      </w:r>
    </w:p>
    <w:p>
      <w:pPr>
        <w:ind w:firstLine="640" w:firstLineChars="200"/>
        <w:rPr>
          <w:rFonts w:hint="eastAsia"/>
          <w:sz w:val="32"/>
          <w:szCs w:val="32"/>
          <w:highlight w:val="none"/>
        </w:rPr>
      </w:pPr>
      <w:r>
        <w:rPr>
          <w:rFonts w:eastAsia="楷体_GB2312"/>
          <w:sz w:val="32"/>
          <w:szCs w:val="32"/>
          <w:highlight w:val="none"/>
        </w:rPr>
        <w:t>1、进一步强化政治担当，全面提升政治素养。</w:t>
      </w:r>
      <w:r>
        <w:rPr>
          <w:rFonts w:hint="eastAsia"/>
          <w:sz w:val="32"/>
          <w:szCs w:val="32"/>
          <w:highlight w:val="none"/>
        </w:rPr>
        <w:t>深入学习落实习近平新时代中国特色社会主义思想，学思践悟十九届五中全会精神，不断增强“四个意识”、坚定“四个自信”、做到“两个维护”，自觉担负起党和人民赋予的时代重任。坚持党对检察工作的绝对领导，加强“融党建”建设，打造党建创新品牌，将强党建与促业务融为一体，共同发展。</w:t>
      </w:r>
    </w:p>
    <w:p>
      <w:pPr>
        <w:ind w:firstLine="640" w:firstLineChars="200"/>
        <w:rPr>
          <w:rFonts w:hint="eastAsia"/>
          <w:sz w:val="32"/>
          <w:szCs w:val="32"/>
          <w:highlight w:val="none"/>
        </w:rPr>
      </w:pPr>
      <w:r>
        <w:rPr>
          <w:rFonts w:eastAsia="楷体_GB2312"/>
          <w:sz w:val="32"/>
          <w:szCs w:val="32"/>
          <w:highlight w:val="none"/>
        </w:rPr>
        <w:t>2、进一步强化服务大局理念，全面提升服务水平。</w:t>
      </w:r>
      <w:r>
        <w:rPr>
          <w:rFonts w:hint="eastAsia"/>
          <w:sz w:val="32"/>
          <w:szCs w:val="32"/>
          <w:highlight w:val="none"/>
        </w:rPr>
        <w:t>立足海州区非公企业法律服务中心，成立工作专班，深入企业提供服务解难题促发展。通过检察长深入河道、点位走访调研，督促整改，推进“河长+检察长”“点位长+检察长”机制出实效。强化刑事和解、司法救助，有效配合行政机关化解行政争议，精心打磨“枫桥经验”海州模式，进一步提升检察机关助推国家治理体系和社会治理现代化建设的能力和水平。</w:t>
      </w:r>
    </w:p>
    <w:p>
      <w:pPr>
        <w:spacing w:line="580" w:lineRule="exact"/>
        <w:ind w:firstLine="640" w:firstLineChars="200"/>
        <w:rPr>
          <w:rFonts w:hint="eastAsia"/>
          <w:sz w:val="32"/>
          <w:szCs w:val="32"/>
          <w:highlight w:val="none"/>
        </w:rPr>
      </w:pPr>
      <w:r>
        <w:rPr>
          <w:rFonts w:eastAsia="楷体_GB2312"/>
          <w:sz w:val="32"/>
          <w:szCs w:val="32"/>
          <w:highlight w:val="none"/>
        </w:rPr>
        <w:t>3、进一步转变司法办案理念，</w:t>
      </w:r>
      <w:r>
        <w:rPr>
          <w:rFonts w:hint="eastAsia" w:eastAsia="楷体_GB2312"/>
          <w:sz w:val="32"/>
          <w:szCs w:val="32"/>
          <w:highlight w:val="none"/>
        </w:rPr>
        <w:t>努力提升司法办案质效</w:t>
      </w:r>
      <w:r>
        <w:rPr>
          <w:rFonts w:eastAsia="楷体_GB2312"/>
          <w:sz w:val="32"/>
          <w:szCs w:val="32"/>
          <w:highlight w:val="none"/>
        </w:rPr>
        <w:t>。</w:t>
      </w:r>
      <w:r>
        <w:rPr>
          <w:rFonts w:eastAsia="仿宋_GB2312"/>
          <w:sz w:val="32"/>
          <w:szCs w:val="32"/>
          <w:highlight w:val="none"/>
        </w:rPr>
        <w:t>严格</w:t>
      </w:r>
      <w:r>
        <w:rPr>
          <w:rFonts w:hint="eastAsia"/>
          <w:sz w:val="32"/>
          <w:szCs w:val="32"/>
          <w:highlight w:val="none"/>
        </w:rPr>
        <w:t>把握新形势下刑事司法理念，坚持宽严相济，让人民群众在每一起案件中都能感受到公平正义和法律温情。通过提升干警司法办案水平，充分发挥检察建议作用等，全力打造全国典型案例、指导性案例。充分发挥信息化引领作用，谋划推进检察大数据中心建设，努力争做全省基层院信息化建设探路者。</w:t>
      </w:r>
    </w:p>
    <w:p>
      <w:pPr>
        <w:spacing w:line="580" w:lineRule="exact"/>
        <w:ind w:firstLine="640" w:firstLineChars="200"/>
        <w:rPr>
          <w:rFonts w:hint="eastAsia"/>
          <w:sz w:val="32"/>
          <w:szCs w:val="32"/>
          <w:highlight w:val="none"/>
        </w:rPr>
      </w:pPr>
      <w:r>
        <w:rPr>
          <w:rFonts w:eastAsia="楷体_GB2312"/>
          <w:sz w:val="32"/>
          <w:szCs w:val="32"/>
          <w:highlight w:val="none"/>
        </w:rPr>
        <w:t>4、进一步强化监督，助推四大检察全面发展</w:t>
      </w:r>
      <w:r>
        <w:rPr>
          <w:rFonts w:eastAsia="仿宋_GB2312"/>
          <w:sz w:val="32"/>
          <w:szCs w:val="32"/>
          <w:highlight w:val="none"/>
        </w:rPr>
        <w:t>。</w:t>
      </w:r>
      <w:r>
        <w:rPr>
          <w:rFonts w:hint="eastAsia"/>
          <w:sz w:val="32"/>
          <w:szCs w:val="32"/>
          <w:highlight w:val="none"/>
        </w:rPr>
        <w:t>持续落实认罪认罚从宽制度，降低案-件比，提升案件质效。拓宽民事监督线索来源，提升民事检察监督质效。不断探索行政检察监督新途径，打造行政争议化解典型案例，为百姓求公道，为社会消戾气。健全完善公益诉讼新领域检察工作机制，完善专家鉴定意见制度，探索生态环境损害修复赔偿新路径，全面维护国家利益和社会公共利益。</w:t>
      </w:r>
    </w:p>
    <w:p>
      <w:pPr>
        <w:pStyle w:val="2"/>
        <w:spacing w:before="1"/>
        <w:ind w:left="110" w:leftChars="50" w:firstLine="640" w:firstLineChars="200"/>
        <w:rPr>
          <w:rFonts w:hint="eastAsia" w:ascii="宋体" w:hAnsi="宋体" w:eastAsia="宋体" w:cs="宋体"/>
          <w:sz w:val="32"/>
          <w:szCs w:val="32"/>
          <w:highlight w:val="none"/>
          <w:lang w:val="zh-CN" w:eastAsia="zh-CN" w:bidi="zh-CN"/>
        </w:rPr>
      </w:pPr>
      <w:r>
        <w:rPr>
          <w:rFonts w:eastAsia="楷体_GB2312"/>
          <w:highlight w:val="none"/>
        </w:rPr>
        <w:t>5、进一步提升队伍素质，</w:t>
      </w:r>
      <w:r>
        <w:rPr>
          <w:rFonts w:hint="eastAsia" w:eastAsia="楷体_GB2312"/>
          <w:highlight w:val="none"/>
        </w:rPr>
        <w:t>铸造</w:t>
      </w:r>
      <w:r>
        <w:rPr>
          <w:rFonts w:eastAsia="楷体_GB2312"/>
          <w:highlight w:val="none"/>
        </w:rPr>
        <w:t>检察铁军。</w:t>
      </w:r>
      <w:r>
        <w:rPr>
          <w:rFonts w:hint="eastAsia" w:ascii="宋体" w:hAnsi="宋体" w:eastAsia="宋体" w:cs="宋体"/>
          <w:sz w:val="32"/>
          <w:szCs w:val="32"/>
          <w:highlight w:val="none"/>
          <w:lang w:val="zh-CN" w:eastAsia="zh-CN" w:bidi="zh-CN"/>
        </w:rPr>
        <w:t>强化纪律作风建设，用好党员干部警示教育基地，开展纪律作风建设整顿年活动。加强优秀公诉人培养，完善培养方案，搭建培养平台，培育全省、全国十佳公诉人。加强检察专业化人才培养，通过案件办理、理论培训、实战实练，全面塑造全省、全国检察专业化人才、办案团队，努力塑造一批在全省、全国有影响力的典型人物。</w:t>
      </w:r>
    </w:p>
    <w:p>
      <w:pPr>
        <w:rPr>
          <w:rFonts w:hint="eastAsia" w:ascii="宋体" w:hAnsi="宋体" w:eastAsia="宋体" w:cs="宋体"/>
          <w:sz w:val="32"/>
          <w:szCs w:val="32"/>
          <w:highlight w:val="none"/>
          <w:lang w:val="zh-CN" w:eastAsia="zh-CN" w:bidi="zh-CN"/>
        </w:rPr>
        <w:sectPr>
          <w:pgSz w:w="11910" w:h="16840"/>
          <w:pgMar w:top="1580" w:right="1160" w:bottom="280" w:left="1480" w:header="720" w:footer="720" w:gutter="0"/>
          <w:cols w:space="720" w:num="1"/>
        </w:sectPr>
      </w:pPr>
    </w:p>
    <w:p>
      <w:pPr>
        <w:pStyle w:val="2"/>
        <w:rPr>
          <w:sz w:val="20"/>
          <w:highlight w:val="none"/>
        </w:rPr>
      </w:pPr>
    </w:p>
    <w:p>
      <w:pPr>
        <w:pStyle w:val="2"/>
        <w:rPr>
          <w:sz w:val="20"/>
          <w:highlight w:val="none"/>
        </w:rPr>
      </w:pPr>
    </w:p>
    <w:p>
      <w:pPr>
        <w:pStyle w:val="2"/>
        <w:rPr>
          <w:sz w:val="20"/>
          <w:highlight w:val="none"/>
        </w:rPr>
      </w:pPr>
    </w:p>
    <w:p>
      <w:pPr>
        <w:pStyle w:val="2"/>
        <w:rPr>
          <w:sz w:val="20"/>
          <w:highlight w:val="none"/>
        </w:rPr>
      </w:pPr>
    </w:p>
    <w:p>
      <w:pPr>
        <w:pStyle w:val="2"/>
        <w:rPr>
          <w:sz w:val="20"/>
          <w:highlight w:val="none"/>
        </w:rPr>
      </w:pPr>
    </w:p>
    <w:p>
      <w:pPr>
        <w:pStyle w:val="2"/>
        <w:spacing w:before="2"/>
        <w:rPr>
          <w:sz w:val="20"/>
          <w:highlight w:val="none"/>
        </w:rPr>
      </w:pPr>
    </w:p>
    <w:p>
      <w:pPr>
        <w:pStyle w:val="12"/>
        <w:tabs>
          <w:tab w:val="left" w:pos="1800"/>
        </w:tabs>
        <w:spacing w:before="61"/>
        <w:rPr>
          <w:highlight w:val="none"/>
        </w:rPr>
      </w:pPr>
      <w:r>
        <w:rPr>
          <w:highlight w:val="none"/>
        </w:rPr>
        <w:t>第二部分</w:t>
      </w:r>
      <w:r>
        <w:rPr>
          <w:highlight w:val="none"/>
        </w:rPr>
        <w:tab/>
      </w:r>
      <w:r>
        <w:rPr>
          <w:rFonts w:hint="eastAsia" w:ascii="Times New Roman"/>
          <w:highlight w:val="none"/>
          <w:u w:val="single"/>
          <w:lang w:eastAsia="zh-CN"/>
        </w:rPr>
        <w:t>连云港市海州区人民检察院</w:t>
      </w:r>
      <w:r>
        <w:rPr>
          <w:rFonts w:ascii="Times New Roman" w:eastAsia="Times New Roman"/>
          <w:highlight w:val="none"/>
        </w:rPr>
        <w:t>2020</w:t>
      </w:r>
      <w:r>
        <w:rPr>
          <w:highlight w:val="none"/>
        </w:rPr>
        <w:t>年度部门决算表</w:t>
      </w:r>
    </w:p>
    <w:p>
      <w:pPr>
        <w:pStyle w:val="2"/>
        <w:rPr>
          <w:sz w:val="20"/>
          <w:highlight w:val="none"/>
        </w:rPr>
      </w:pPr>
    </w:p>
    <w:p>
      <w:pPr>
        <w:pStyle w:val="2"/>
        <w:rPr>
          <w:sz w:val="16"/>
          <w:highlight w:val="none"/>
        </w:rPr>
      </w:pPr>
    </w:p>
    <w:p>
      <w:pPr>
        <w:spacing w:before="51"/>
        <w:ind w:left="2"/>
        <w:jc w:val="center"/>
        <w:rPr>
          <w:sz w:val="36"/>
          <w:highlight w:val="none"/>
        </w:rPr>
      </w:pPr>
      <w:r>
        <w:rPr>
          <w:sz w:val="36"/>
          <w:highlight w:val="none"/>
        </w:rPr>
        <w:t>收入支出决算总表</w:t>
      </w:r>
    </w:p>
    <w:p>
      <w:pPr>
        <w:pStyle w:val="2"/>
        <w:spacing w:before="7"/>
        <w:rPr>
          <w:sz w:val="29"/>
          <w:highlight w:val="none"/>
        </w:rPr>
      </w:pPr>
    </w:p>
    <w:p>
      <w:pPr>
        <w:spacing w:before="78"/>
        <w:ind w:right="2672"/>
        <w:jc w:val="right"/>
        <w:rPr>
          <w:sz w:val="20"/>
          <w:highlight w:val="none"/>
        </w:rPr>
      </w:pPr>
      <w:r>
        <w:rPr>
          <w:spacing w:val="-18"/>
          <w:sz w:val="20"/>
          <w:highlight w:val="none"/>
        </w:rPr>
        <w:t xml:space="preserve">公开 </w:t>
      </w:r>
      <w:r>
        <w:rPr>
          <w:rFonts w:ascii="Times New Roman" w:eastAsia="Times New Roman"/>
          <w:sz w:val="20"/>
          <w:highlight w:val="none"/>
        </w:rPr>
        <w:t xml:space="preserve">01 </w:t>
      </w:r>
      <w:r>
        <w:rPr>
          <w:sz w:val="20"/>
          <w:highlight w:val="none"/>
        </w:rPr>
        <w:t>表</w:t>
      </w:r>
    </w:p>
    <w:p>
      <w:pPr>
        <w:pStyle w:val="2"/>
        <w:spacing w:before="11"/>
        <w:rPr>
          <w:sz w:val="16"/>
          <w:highlight w:val="none"/>
        </w:rPr>
      </w:pPr>
    </w:p>
    <w:p>
      <w:pPr>
        <w:tabs>
          <w:tab w:val="left" w:pos="7448"/>
        </w:tabs>
        <w:spacing w:before="1" w:after="32"/>
        <w:ind w:right="2675" w:firstLine="1000" w:firstLineChars="500"/>
        <w:jc w:val="both"/>
        <w:rPr>
          <w:sz w:val="20"/>
          <w:highlight w:val="none"/>
        </w:rPr>
      </w:pPr>
      <w:r>
        <w:rPr>
          <w:sz w:val="20"/>
          <w:highlight w:val="none"/>
        </w:rPr>
        <w:t>部门名称：</w:t>
      </w:r>
      <w:r>
        <w:rPr>
          <w:rFonts w:hint="eastAsia" w:ascii="Times New Roman"/>
          <w:sz w:val="20"/>
          <w:highlight w:val="none"/>
          <w:lang w:eastAsia="zh-CN"/>
        </w:rPr>
        <w:t>连云港市海州区人民检察院</w:t>
      </w:r>
      <w:r>
        <w:rPr>
          <w:rFonts w:ascii="Times New Roman" w:eastAsia="Times New Roman"/>
          <w:sz w:val="20"/>
          <w:highlight w:val="none"/>
        </w:rPr>
        <w:tab/>
      </w:r>
      <w:r>
        <w:rPr>
          <w:rFonts w:hint="eastAsia" w:ascii="Times New Roman"/>
          <w:sz w:val="20"/>
          <w:highlight w:val="none"/>
          <w:lang w:val="en-US" w:eastAsia="zh-CN"/>
        </w:rPr>
        <w:t xml:space="preserve">                                                       </w:t>
      </w:r>
      <w:r>
        <w:rPr>
          <w:w w:val="95"/>
          <w:sz w:val="20"/>
          <w:highlight w:val="none"/>
        </w:rPr>
        <w:t>金额单位：万元</w:t>
      </w:r>
    </w:p>
    <w:tbl>
      <w:tblPr>
        <w:tblStyle w:val="8"/>
        <w:tblW w:w="0" w:type="auto"/>
        <w:tblInd w:w="1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5"/>
        <w:gridCol w:w="2445"/>
        <w:gridCol w:w="3011"/>
        <w:gridCol w:w="1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6000" w:type="dxa"/>
            <w:gridSpan w:val="2"/>
          </w:tcPr>
          <w:p>
            <w:pPr>
              <w:pStyle w:val="16"/>
              <w:spacing w:before="30"/>
              <w:ind w:left="1894" w:right="1887"/>
              <w:jc w:val="center"/>
              <w:rPr>
                <w:sz w:val="20"/>
                <w:highlight w:val="none"/>
              </w:rPr>
            </w:pPr>
            <w:r>
              <w:rPr>
                <w:sz w:val="20"/>
                <w:highlight w:val="none"/>
              </w:rPr>
              <w:t>收入</w:t>
            </w:r>
          </w:p>
        </w:tc>
        <w:tc>
          <w:tcPr>
            <w:tcW w:w="3011" w:type="dxa"/>
          </w:tcPr>
          <w:p>
            <w:pPr>
              <w:pStyle w:val="16"/>
              <w:spacing w:before="30"/>
              <w:ind w:left="1085" w:right="1080"/>
              <w:jc w:val="center"/>
              <w:rPr>
                <w:sz w:val="20"/>
                <w:highlight w:val="none"/>
              </w:rPr>
            </w:pPr>
            <w:r>
              <w:rPr>
                <w:sz w:val="20"/>
                <w:highlight w:val="none"/>
              </w:rPr>
              <w:t>支出</w:t>
            </w:r>
          </w:p>
        </w:tc>
        <w:tc>
          <w:tcPr>
            <w:tcW w:w="1617" w:type="dxa"/>
          </w:tcPr>
          <w:p>
            <w:pPr>
              <w:pStyle w:val="16"/>
              <w:spacing w:before="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55" w:type="dxa"/>
          </w:tcPr>
          <w:p>
            <w:pPr>
              <w:pStyle w:val="16"/>
              <w:spacing w:before="30"/>
              <w:ind w:left="6"/>
              <w:jc w:val="center"/>
              <w:rPr>
                <w:sz w:val="20"/>
                <w:highlight w:val="none"/>
              </w:rPr>
            </w:pPr>
            <w:r>
              <w:rPr>
                <w:sz w:val="20"/>
                <w:highlight w:val="none"/>
              </w:rPr>
              <w:t>项目</w:t>
            </w:r>
          </w:p>
        </w:tc>
        <w:tc>
          <w:tcPr>
            <w:tcW w:w="2445" w:type="dxa"/>
          </w:tcPr>
          <w:p>
            <w:pPr>
              <w:pStyle w:val="16"/>
              <w:spacing w:before="30"/>
              <w:ind w:left="107"/>
              <w:rPr>
                <w:sz w:val="20"/>
                <w:highlight w:val="none"/>
              </w:rPr>
            </w:pPr>
            <w:r>
              <w:rPr>
                <w:sz w:val="20"/>
                <w:highlight w:val="none"/>
              </w:rPr>
              <w:t>决算数</w:t>
            </w:r>
          </w:p>
        </w:tc>
        <w:tc>
          <w:tcPr>
            <w:tcW w:w="3011" w:type="dxa"/>
          </w:tcPr>
          <w:p>
            <w:pPr>
              <w:pStyle w:val="16"/>
              <w:spacing w:before="30"/>
              <w:ind w:left="1085" w:right="1081"/>
              <w:jc w:val="center"/>
              <w:rPr>
                <w:sz w:val="20"/>
                <w:highlight w:val="none"/>
              </w:rPr>
            </w:pPr>
            <w:r>
              <w:rPr>
                <w:sz w:val="20"/>
                <w:highlight w:val="none"/>
              </w:rPr>
              <w:t>按功能分类</w:t>
            </w:r>
          </w:p>
        </w:tc>
        <w:tc>
          <w:tcPr>
            <w:tcW w:w="1617" w:type="dxa"/>
          </w:tcPr>
          <w:p>
            <w:pPr>
              <w:pStyle w:val="16"/>
              <w:spacing w:before="30"/>
              <w:ind w:left="506"/>
              <w:rPr>
                <w:sz w:val="20"/>
                <w:highlight w:val="none"/>
              </w:rPr>
            </w:pPr>
            <w:r>
              <w:rPr>
                <w:sz w:val="20"/>
                <w:highlight w:val="none"/>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555" w:type="dxa"/>
          </w:tcPr>
          <w:p>
            <w:pPr>
              <w:pStyle w:val="16"/>
              <w:spacing w:before="30"/>
              <w:ind w:left="107"/>
              <w:rPr>
                <w:sz w:val="20"/>
                <w:highlight w:val="none"/>
              </w:rPr>
            </w:pPr>
            <w:r>
              <w:rPr>
                <w:sz w:val="20"/>
                <w:highlight w:val="none"/>
              </w:rPr>
              <w:t>一、一般公共预算财政拨款收入</w:t>
            </w:r>
          </w:p>
        </w:tc>
        <w:tc>
          <w:tcPr>
            <w:tcW w:w="2445" w:type="dxa"/>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lang w:val="zh-CN" w:eastAsia="zh-CN" w:bidi="zh-CN"/>
              </w:rPr>
            </w:pPr>
            <w:r>
              <w:rPr>
                <w:rFonts w:hint="eastAsia" w:ascii="宋体" w:hAnsi="宋体" w:eastAsia="宋体" w:cs="宋体"/>
                <w:i w:val="0"/>
                <w:color w:val="000000"/>
                <w:kern w:val="0"/>
                <w:sz w:val="22"/>
                <w:szCs w:val="22"/>
                <w:highlight w:val="none"/>
                <w:u w:val="none"/>
                <w:lang w:val="en-US" w:eastAsia="zh-CN" w:bidi="ar"/>
              </w:rPr>
              <w:t>4,713.80</w:t>
            </w:r>
          </w:p>
        </w:tc>
        <w:tc>
          <w:tcPr>
            <w:tcW w:w="3011" w:type="dxa"/>
          </w:tcPr>
          <w:p>
            <w:pPr>
              <w:pStyle w:val="16"/>
              <w:spacing w:before="30"/>
              <w:ind w:left="107"/>
              <w:rPr>
                <w:sz w:val="20"/>
                <w:highlight w:val="none"/>
              </w:rPr>
            </w:pPr>
            <w:r>
              <w:rPr>
                <w:sz w:val="20"/>
                <w:highlight w:val="none"/>
              </w:rPr>
              <w:t>一、一般公共服务支出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55" w:type="dxa"/>
          </w:tcPr>
          <w:p>
            <w:pPr>
              <w:pStyle w:val="16"/>
              <w:spacing w:before="27"/>
              <w:ind w:left="107"/>
              <w:rPr>
                <w:sz w:val="20"/>
                <w:highlight w:val="none"/>
              </w:rPr>
            </w:pPr>
            <w:r>
              <w:rPr>
                <w:sz w:val="20"/>
                <w:highlight w:val="none"/>
              </w:rPr>
              <w:t>二、政府性基金预算财政拨款收入</w:t>
            </w:r>
          </w:p>
        </w:tc>
        <w:tc>
          <w:tcPr>
            <w:tcW w:w="2445"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c>
          <w:tcPr>
            <w:tcW w:w="3011" w:type="dxa"/>
          </w:tcPr>
          <w:p>
            <w:pPr>
              <w:pStyle w:val="16"/>
              <w:spacing w:before="27"/>
              <w:ind w:left="107"/>
              <w:rPr>
                <w:sz w:val="20"/>
                <w:highlight w:val="none"/>
              </w:rPr>
            </w:pPr>
            <w:r>
              <w:rPr>
                <w:sz w:val="20"/>
                <w:highlight w:val="none"/>
              </w:rPr>
              <w:t>二、外交支出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55" w:type="dxa"/>
          </w:tcPr>
          <w:p>
            <w:pPr>
              <w:pStyle w:val="16"/>
              <w:spacing w:before="27"/>
              <w:ind w:left="107"/>
              <w:rPr>
                <w:sz w:val="20"/>
                <w:highlight w:val="none"/>
              </w:rPr>
            </w:pPr>
            <w:r>
              <w:rPr>
                <w:sz w:val="20"/>
                <w:highlight w:val="none"/>
              </w:rPr>
              <w:t>三、国有资本经营预算财政拨款收入</w:t>
            </w:r>
          </w:p>
        </w:tc>
        <w:tc>
          <w:tcPr>
            <w:tcW w:w="2445"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c>
          <w:tcPr>
            <w:tcW w:w="3011" w:type="dxa"/>
          </w:tcPr>
          <w:p>
            <w:pPr>
              <w:pStyle w:val="16"/>
              <w:spacing w:before="27"/>
              <w:ind w:left="107"/>
              <w:rPr>
                <w:sz w:val="20"/>
                <w:highlight w:val="none"/>
              </w:rPr>
            </w:pPr>
            <w:r>
              <w:rPr>
                <w:sz w:val="20"/>
                <w:highlight w:val="none"/>
              </w:rPr>
              <w:t>三、国防支出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55" w:type="dxa"/>
          </w:tcPr>
          <w:p>
            <w:pPr>
              <w:pStyle w:val="16"/>
              <w:spacing w:before="28"/>
              <w:ind w:left="107"/>
              <w:rPr>
                <w:sz w:val="20"/>
                <w:highlight w:val="none"/>
              </w:rPr>
            </w:pPr>
            <w:r>
              <w:rPr>
                <w:sz w:val="20"/>
                <w:highlight w:val="none"/>
              </w:rPr>
              <w:t>四、上级补助收入</w:t>
            </w:r>
          </w:p>
        </w:tc>
        <w:tc>
          <w:tcPr>
            <w:tcW w:w="2445"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c>
          <w:tcPr>
            <w:tcW w:w="3011" w:type="dxa"/>
          </w:tcPr>
          <w:p>
            <w:pPr>
              <w:pStyle w:val="16"/>
              <w:spacing w:before="28"/>
              <w:ind w:left="107"/>
              <w:rPr>
                <w:sz w:val="20"/>
                <w:highlight w:val="none"/>
              </w:rPr>
            </w:pPr>
            <w:r>
              <w:rPr>
                <w:sz w:val="20"/>
                <w:highlight w:val="none"/>
              </w:rPr>
              <w:t>四、公共安全支出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3,322.32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55" w:type="dxa"/>
          </w:tcPr>
          <w:p>
            <w:pPr>
              <w:pStyle w:val="16"/>
              <w:spacing w:before="28"/>
              <w:ind w:left="107"/>
              <w:rPr>
                <w:sz w:val="20"/>
                <w:highlight w:val="none"/>
              </w:rPr>
            </w:pPr>
            <w:r>
              <w:rPr>
                <w:sz w:val="20"/>
                <w:highlight w:val="none"/>
              </w:rPr>
              <w:t>五、事业收入</w:t>
            </w:r>
          </w:p>
        </w:tc>
        <w:tc>
          <w:tcPr>
            <w:tcW w:w="2445"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c>
          <w:tcPr>
            <w:tcW w:w="3011" w:type="dxa"/>
          </w:tcPr>
          <w:p>
            <w:pPr>
              <w:pStyle w:val="16"/>
              <w:spacing w:before="28"/>
              <w:ind w:left="107"/>
              <w:rPr>
                <w:sz w:val="20"/>
                <w:highlight w:val="none"/>
              </w:rPr>
            </w:pPr>
            <w:r>
              <w:rPr>
                <w:sz w:val="20"/>
                <w:highlight w:val="none"/>
              </w:rPr>
              <w:t>五、教育支出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55" w:type="dxa"/>
          </w:tcPr>
          <w:p>
            <w:pPr>
              <w:pStyle w:val="16"/>
              <w:spacing w:before="30"/>
              <w:ind w:left="107"/>
              <w:rPr>
                <w:sz w:val="20"/>
                <w:highlight w:val="none"/>
              </w:rPr>
            </w:pPr>
            <w:r>
              <w:rPr>
                <w:sz w:val="20"/>
                <w:highlight w:val="none"/>
              </w:rPr>
              <w:t>六、经营收入</w:t>
            </w:r>
          </w:p>
        </w:tc>
        <w:tc>
          <w:tcPr>
            <w:tcW w:w="2445"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c>
          <w:tcPr>
            <w:tcW w:w="3011" w:type="dxa"/>
          </w:tcPr>
          <w:p>
            <w:pPr>
              <w:pStyle w:val="16"/>
              <w:spacing w:before="30"/>
              <w:ind w:left="107"/>
              <w:rPr>
                <w:sz w:val="20"/>
                <w:highlight w:val="none"/>
              </w:rPr>
            </w:pPr>
            <w:r>
              <w:rPr>
                <w:sz w:val="20"/>
                <w:highlight w:val="none"/>
              </w:rPr>
              <w:t>六、科学技术支出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55" w:type="dxa"/>
          </w:tcPr>
          <w:p>
            <w:pPr>
              <w:pStyle w:val="16"/>
              <w:spacing w:before="30"/>
              <w:ind w:left="107"/>
              <w:rPr>
                <w:sz w:val="20"/>
                <w:highlight w:val="none"/>
              </w:rPr>
            </w:pPr>
            <w:r>
              <w:rPr>
                <w:sz w:val="20"/>
                <w:highlight w:val="none"/>
              </w:rPr>
              <w:t>七、附属单位上缴收入</w:t>
            </w:r>
          </w:p>
        </w:tc>
        <w:tc>
          <w:tcPr>
            <w:tcW w:w="2445"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c>
          <w:tcPr>
            <w:tcW w:w="3011" w:type="dxa"/>
          </w:tcPr>
          <w:p>
            <w:pPr>
              <w:pStyle w:val="16"/>
              <w:spacing w:before="30"/>
              <w:ind w:left="107"/>
              <w:rPr>
                <w:sz w:val="20"/>
                <w:highlight w:val="none"/>
              </w:rPr>
            </w:pPr>
            <w:r>
              <w:rPr>
                <w:sz w:val="20"/>
                <w:highlight w:val="none"/>
              </w:rPr>
              <w:t>七、文化旅游体育与传媒支出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55" w:type="dxa"/>
          </w:tcPr>
          <w:p>
            <w:pPr>
              <w:pStyle w:val="16"/>
              <w:spacing w:before="30"/>
              <w:ind w:left="107"/>
              <w:rPr>
                <w:sz w:val="20"/>
                <w:highlight w:val="none"/>
              </w:rPr>
            </w:pPr>
            <w:r>
              <w:rPr>
                <w:sz w:val="20"/>
                <w:highlight w:val="none"/>
              </w:rPr>
              <w:t>八、其他收入</w:t>
            </w:r>
          </w:p>
        </w:tc>
        <w:tc>
          <w:tcPr>
            <w:tcW w:w="2445"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c>
          <w:tcPr>
            <w:tcW w:w="3011" w:type="dxa"/>
          </w:tcPr>
          <w:p>
            <w:pPr>
              <w:pStyle w:val="16"/>
              <w:spacing w:before="30"/>
              <w:ind w:left="107"/>
              <w:rPr>
                <w:sz w:val="20"/>
                <w:highlight w:val="none"/>
              </w:rPr>
            </w:pPr>
            <w:r>
              <w:rPr>
                <w:sz w:val="20"/>
                <w:highlight w:val="none"/>
              </w:rPr>
              <w:t>八、社会保障和就业支出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251.01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555" w:type="dxa"/>
          </w:tcPr>
          <w:p>
            <w:pPr>
              <w:pStyle w:val="16"/>
              <w:spacing w:before="30"/>
              <w:ind w:left="107"/>
              <w:rPr>
                <w:sz w:val="20"/>
                <w:highlight w:val="none"/>
              </w:rPr>
            </w:pPr>
            <w:r>
              <w:rPr>
                <w:w w:val="99"/>
                <w:sz w:val="20"/>
                <w:highlight w:val="none"/>
              </w:rPr>
              <w:t xml:space="preserve"> </w:t>
            </w:r>
          </w:p>
        </w:tc>
        <w:tc>
          <w:tcPr>
            <w:tcW w:w="2445" w:type="dxa"/>
            <w:vAlign w:val="center"/>
          </w:tcPr>
          <w:p>
            <w:pPr>
              <w:jc w:val="right"/>
              <w:rPr>
                <w:sz w:val="20"/>
                <w:highlight w:val="none"/>
              </w:rPr>
            </w:pPr>
          </w:p>
        </w:tc>
        <w:tc>
          <w:tcPr>
            <w:tcW w:w="3011" w:type="dxa"/>
          </w:tcPr>
          <w:p>
            <w:pPr>
              <w:pStyle w:val="16"/>
              <w:spacing w:before="30"/>
              <w:ind w:left="107"/>
              <w:rPr>
                <w:sz w:val="20"/>
                <w:highlight w:val="none"/>
              </w:rPr>
            </w:pPr>
            <w:r>
              <w:rPr>
                <w:sz w:val="20"/>
                <w:highlight w:val="none"/>
              </w:rPr>
              <w:t>九、卫生健康支出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55" w:type="dxa"/>
          </w:tcPr>
          <w:p>
            <w:pPr>
              <w:pStyle w:val="16"/>
              <w:spacing w:before="30"/>
              <w:ind w:left="107"/>
              <w:rPr>
                <w:sz w:val="20"/>
                <w:highlight w:val="none"/>
              </w:rPr>
            </w:pPr>
            <w:r>
              <w:rPr>
                <w:w w:val="99"/>
                <w:sz w:val="20"/>
                <w:highlight w:val="none"/>
              </w:rPr>
              <w:t xml:space="preserve"> </w:t>
            </w:r>
          </w:p>
        </w:tc>
        <w:tc>
          <w:tcPr>
            <w:tcW w:w="2445" w:type="dxa"/>
            <w:vAlign w:val="center"/>
          </w:tcPr>
          <w:p>
            <w:pPr>
              <w:jc w:val="right"/>
              <w:rPr>
                <w:sz w:val="20"/>
                <w:highlight w:val="none"/>
              </w:rPr>
            </w:pPr>
          </w:p>
        </w:tc>
        <w:tc>
          <w:tcPr>
            <w:tcW w:w="3011" w:type="dxa"/>
          </w:tcPr>
          <w:p>
            <w:pPr>
              <w:pStyle w:val="16"/>
              <w:spacing w:before="30"/>
              <w:ind w:left="107"/>
              <w:rPr>
                <w:sz w:val="20"/>
                <w:highlight w:val="none"/>
              </w:rPr>
            </w:pPr>
            <w:r>
              <w:rPr>
                <w:sz w:val="20"/>
                <w:highlight w:val="none"/>
              </w:rPr>
              <w:t>十、节能环保支出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55" w:type="dxa"/>
          </w:tcPr>
          <w:p>
            <w:pPr>
              <w:pStyle w:val="16"/>
              <w:spacing w:before="30"/>
              <w:ind w:left="107"/>
              <w:rPr>
                <w:sz w:val="20"/>
                <w:highlight w:val="none"/>
              </w:rPr>
            </w:pPr>
            <w:r>
              <w:rPr>
                <w:w w:val="99"/>
                <w:sz w:val="20"/>
                <w:highlight w:val="none"/>
              </w:rPr>
              <w:t xml:space="preserve"> </w:t>
            </w:r>
          </w:p>
        </w:tc>
        <w:tc>
          <w:tcPr>
            <w:tcW w:w="2445" w:type="dxa"/>
            <w:vAlign w:val="center"/>
          </w:tcPr>
          <w:p>
            <w:pPr>
              <w:jc w:val="right"/>
              <w:rPr>
                <w:sz w:val="20"/>
                <w:highlight w:val="none"/>
              </w:rPr>
            </w:pPr>
          </w:p>
        </w:tc>
        <w:tc>
          <w:tcPr>
            <w:tcW w:w="3011" w:type="dxa"/>
          </w:tcPr>
          <w:p>
            <w:pPr>
              <w:pStyle w:val="16"/>
              <w:spacing w:before="30"/>
              <w:ind w:left="107"/>
              <w:rPr>
                <w:sz w:val="20"/>
                <w:highlight w:val="none"/>
              </w:rPr>
            </w:pPr>
            <w:r>
              <w:rPr>
                <w:sz w:val="20"/>
                <w:highlight w:val="none"/>
              </w:rPr>
              <w:t>十一、城乡社区支出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555" w:type="dxa"/>
          </w:tcPr>
          <w:p>
            <w:pPr>
              <w:pStyle w:val="16"/>
              <w:spacing w:before="30"/>
              <w:ind w:left="107"/>
              <w:rPr>
                <w:sz w:val="20"/>
                <w:highlight w:val="none"/>
              </w:rPr>
            </w:pPr>
            <w:r>
              <w:rPr>
                <w:w w:val="99"/>
                <w:sz w:val="20"/>
                <w:highlight w:val="none"/>
              </w:rPr>
              <w:t xml:space="preserve"> </w:t>
            </w:r>
          </w:p>
        </w:tc>
        <w:tc>
          <w:tcPr>
            <w:tcW w:w="2445" w:type="dxa"/>
            <w:vAlign w:val="center"/>
          </w:tcPr>
          <w:p>
            <w:pPr>
              <w:jc w:val="right"/>
              <w:rPr>
                <w:sz w:val="20"/>
                <w:highlight w:val="none"/>
              </w:rPr>
            </w:pPr>
          </w:p>
        </w:tc>
        <w:tc>
          <w:tcPr>
            <w:tcW w:w="3011" w:type="dxa"/>
          </w:tcPr>
          <w:p>
            <w:pPr>
              <w:pStyle w:val="16"/>
              <w:spacing w:before="30"/>
              <w:ind w:left="107"/>
              <w:rPr>
                <w:sz w:val="20"/>
                <w:highlight w:val="none"/>
              </w:rPr>
            </w:pPr>
            <w:r>
              <w:rPr>
                <w:sz w:val="20"/>
                <w:highlight w:val="none"/>
              </w:rPr>
              <w:t>十二、农林水支出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r>
    </w:tbl>
    <w:p>
      <w:pPr>
        <w:jc w:val="right"/>
        <w:rPr>
          <w:sz w:val="20"/>
          <w:highlight w:val="none"/>
        </w:rPr>
        <w:sectPr>
          <w:pgSz w:w="16840" w:h="11910" w:orient="landscape"/>
          <w:pgMar w:top="1100" w:right="1320" w:bottom="280" w:left="1320" w:header="720" w:footer="720" w:gutter="0"/>
          <w:cols w:space="720" w:num="1"/>
        </w:sectPr>
      </w:pPr>
    </w:p>
    <w:p>
      <w:pPr>
        <w:pStyle w:val="2"/>
        <w:rPr>
          <w:rFonts w:ascii="Times New Roman"/>
          <w:sz w:val="20"/>
          <w:highlight w:val="none"/>
        </w:rPr>
      </w:pPr>
    </w:p>
    <w:p>
      <w:pPr>
        <w:pStyle w:val="2"/>
        <w:rPr>
          <w:rFonts w:ascii="Times New Roman"/>
          <w:sz w:val="20"/>
          <w:highlight w:val="none"/>
        </w:rPr>
      </w:pPr>
    </w:p>
    <w:p>
      <w:pPr>
        <w:pStyle w:val="2"/>
        <w:spacing w:before="1"/>
        <w:rPr>
          <w:rFonts w:ascii="Times New Roman"/>
          <w:sz w:val="20"/>
          <w:highlight w:val="none"/>
        </w:rPr>
      </w:pPr>
    </w:p>
    <w:tbl>
      <w:tblPr>
        <w:tblStyle w:val="8"/>
        <w:tblW w:w="0" w:type="auto"/>
        <w:tblInd w:w="10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0"/>
        <w:gridCol w:w="2240"/>
        <w:gridCol w:w="3216"/>
        <w:gridCol w:w="1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40" w:type="dxa"/>
          </w:tcPr>
          <w:p>
            <w:pPr>
              <w:pStyle w:val="16"/>
              <w:spacing w:before="27"/>
              <w:ind w:left="107"/>
              <w:rPr>
                <w:sz w:val="20"/>
                <w:highlight w:val="none"/>
              </w:rPr>
            </w:pPr>
            <w:r>
              <w:rPr>
                <w:w w:val="99"/>
                <w:sz w:val="20"/>
                <w:highlight w:val="none"/>
              </w:rPr>
              <w:t xml:space="preserve"> </w:t>
            </w:r>
          </w:p>
        </w:tc>
        <w:tc>
          <w:tcPr>
            <w:tcW w:w="2240" w:type="dxa"/>
          </w:tcPr>
          <w:p>
            <w:pPr>
              <w:pStyle w:val="16"/>
              <w:spacing w:before="27"/>
              <w:ind w:right="-15"/>
              <w:jc w:val="right"/>
              <w:rPr>
                <w:sz w:val="20"/>
                <w:highlight w:val="none"/>
              </w:rPr>
            </w:pPr>
            <w:r>
              <w:rPr>
                <w:w w:val="99"/>
                <w:sz w:val="20"/>
                <w:highlight w:val="none"/>
              </w:rPr>
              <w:t xml:space="preserve"> </w:t>
            </w:r>
          </w:p>
        </w:tc>
        <w:tc>
          <w:tcPr>
            <w:tcW w:w="3216" w:type="dxa"/>
          </w:tcPr>
          <w:p>
            <w:pPr>
              <w:pStyle w:val="16"/>
              <w:spacing w:before="27"/>
              <w:ind w:left="107"/>
              <w:rPr>
                <w:sz w:val="20"/>
                <w:highlight w:val="none"/>
              </w:rPr>
            </w:pPr>
            <w:r>
              <w:rPr>
                <w:sz w:val="20"/>
                <w:highlight w:val="none"/>
              </w:rPr>
              <w:t>十三、交通运输支出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40" w:type="dxa"/>
          </w:tcPr>
          <w:p>
            <w:pPr>
              <w:pStyle w:val="16"/>
              <w:spacing w:before="27"/>
              <w:ind w:left="107"/>
              <w:rPr>
                <w:sz w:val="20"/>
                <w:highlight w:val="none"/>
              </w:rPr>
            </w:pPr>
            <w:r>
              <w:rPr>
                <w:w w:val="99"/>
                <w:sz w:val="20"/>
                <w:highlight w:val="none"/>
              </w:rPr>
              <w:t xml:space="preserve"> </w:t>
            </w:r>
          </w:p>
        </w:tc>
        <w:tc>
          <w:tcPr>
            <w:tcW w:w="2240" w:type="dxa"/>
          </w:tcPr>
          <w:p>
            <w:pPr>
              <w:pStyle w:val="16"/>
              <w:spacing w:before="27"/>
              <w:ind w:right="-15"/>
              <w:jc w:val="right"/>
              <w:rPr>
                <w:sz w:val="20"/>
                <w:highlight w:val="none"/>
              </w:rPr>
            </w:pPr>
            <w:r>
              <w:rPr>
                <w:w w:val="99"/>
                <w:sz w:val="20"/>
                <w:highlight w:val="none"/>
              </w:rPr>
              <w:t xml:space="preserve"> </w:t>
            </w:r>
          </w:p>
        </w:tc>
        <w:tc>
          <w:tcPr>
            <w:tcW w:w="3216" w:type="dxa"/>
          </w:tcPr>
          <w:p>
            <w:pPr>
              <w:pStyle w:val="16"/>
              <w:spacing w:before="27"/>
              <w:ind w:left="107"/>
              <w:rPr>
                <w:sz w:val="20"/>
                <w:highlight w:val="none"/>
              </w:rPr>
            </w:pPr>
            <w:r>
              <w:rPr>
                <w:sz w:val="20"/>
                <w:highlight w:val="none"/>
              </w:rPr>
              <w:t>十四、资源勘探工业信息等支出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40" w:type="dxa"/>
          </w:tcPr>
          <w:p>
            <w:pPr>
              <w:pStyle w:val="16"/>
              <w:spacing w:before="30"/>
              <w:ind w:left="107"/>
              <w:rPr>
                <w:sz w:val="20"/>
                <w:highlight w:val="none"/>
              </w:rPr>
            </w:pPr>
            <w:r>
              <w:rPr>
                <w:w w:val="99"/>
                <w:sz w:val="20"/>
                <w:highlight w:val="none"/>
              </w:rPr>
              <w:t xml:space="preserve"> </w:t>
            </w:r>
          </w:p>
        </w:tc>
        <w:tc>
          <w:tcPr>
            <w:tcW w:w="2240" w:type="dxa"/>
          </w:tcPr>
          <w:p>
            <w:pPr>
              <w:pStyle w:val="16"/>
              <w:spacing w:before="30"/>
              <w:ind w:right="-15"/>
              <w:jc w:val="right"/>
              <w:rPr>
                <w:sz w:val="20"/>
                <w:highlight w:val="none"/>
              </w:rPr>
            </w:pPr>
            <w:r>
              <w:rPr>
                <w:w w:val="99"/>
                <w:sz w:val="20"/>
                <w:highlight w:val="none"/>
              </w:rPr>
              <w:t xml:space="preserve"> </w:t>
            </w:r>
          </w:p>
        </w:tc>
        <w:tc>
          <w:tcPr>
            <w:tcW w:w="3216" w:type="dxa"/>
          </w:tcPr>
          <w:p>
            <w:pPr>
              <w:pStyle w:val="16"/>
              <w:spacing w:before="30"/>
              <w:ind w:left="107"/>
              <w:rPr>
                <w:sz w:val="20"/>
                <w:highlight w:val="none"/>
              </w:rPr>
            </w:pPr>
            <w:r>
              <w:rPr>
                <w:sz w:val="20"/>
                <w:highlight w:val="none"/>
              </w:rPr>
              <w:t>十五、商业服务业等支出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40" w:type="dxa"/>
          </w:tcPr>
          <w:p>
            <w:pPr>
              <w:pStyle w:val="16"/>
              <w:spacing w:before="30"/>
              <w:ind w:left="107"/>
              <w:rPr>
                <w:sz w:val="20"/>
                <w:highlight w:val="none"/>
              </w:rPr>
            </w:pPr>
            <w:r>
              <w:rPr>
                <w:w w:val="99"/>
                <w:sz w:val="20"/>
                <w:highlight w:val="none"/>
              </w:rPr>
              <w:t xml:space="preserve"> </w:t>
            </w:r>
          </w:p>
        </w:tc>
        <w:tc>
          <w:tcPr>
            <w:tcW w:w="2240" w:type="dxa"/>
          </w:tcPr>
          <w:p>
            <w:pPr>
              <w:pStyle w:val="16"/>
              <w:spacing w:before="30"/>
              <w:ind w:right="-15"/>
              <w:jc w:val="right"/>
              <w:rPr>
                <w:sz w:val="20"/>
                <w:highlight w:val="none"/>
              </w:rPr>
            </w:pPr>
            <w:r>
              <w:rPr>
                <w:w w:val="99"/>
                <w:sz w:val="20"/>
                <w:highlight w:val="none"/>
              </w:rPr>
              <w:t xml:space="preserve"> </w:t>
            </w:r>
          </w:p>
        </w:tc>
        <w:tc>
          <w:tcPr>
            <w:tcW w:w="3216" w:type="dxa"/>
          </w:tcPr>
          <w:p>
            <w:pPr>
              <w:pStyle w:val="16"/>
              <w:spacing w:before="30"/>
              <w:ind w:left="107"/>
              <w:rPr>
                <w:sz w:val="20"/>
                <w:highlight w:val="none"/>
              </w:rPr>
            </w:pPr>
            <w:r>
              <w:rPr>
                <w:sz w:val="20"/>
                <w:highlight w:val="none"/>
              </w:rPr>
              <w:t>十六、金融支出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40" w:type="dxa"/>
          </w:tcPr>
          <w:p>
            <w:pPr>
              <w:pStyle w:val="16"/>
              <w:spacing w:before="30"/>
              <w:ind w:left="107"/>
              <w:rPr>
                <w:sz w:val="20"/>
                <w:highlight w:val="none"/>
              </w:rPr>
            </w:pPr>
            <w:r>
              <w:rPr>
                <w:w w:val="99"/>
                <w:sz w:val="20"/>
                <w:highlight w:val="none"/>
              </w:rPr>
              <w:t xml:space="preserve"> </w:t>
            </w:r>
          </w:p>
        </w:tc>
        <w:tc>
          <w:tcPr>
            <w:tcW w:w="2240" w:type="dxa"/>
          </w:tcPr>
          <w:p>
            <w:pPr>
              <w:pStyle w:val="16"/>
              <w:spacing w:before="30"/>
              <w:ind w:right="-15"/>
              <w:jc w:val="right"/>
              <w:rPr>
                <w:sz w:val="20"/>
                <w:highlight w:val="none"/>
              </w:rPr>
            </w:pPr>
            <w:r>
              <w:rPr>
                <w:w w:val="99"/>
                <w:sz w:val="20"/>
                <w:highlight w:val="none"/>
              </w:rPr>
              <w:t xml:space="preserve"> </w:t>
            </w:r>
          </w:p>
        </w:tc>
        <w:tc>
          <w:tcPr>
            <w:tcW w:w="3216" w:type="dxa"/>
          </w:tcPr>
          <w:p>
            <w:pPr>
              <w:pStyle w:val="16"/>
              <w:spacing w:before="30"/>
              <w:ind w:left="107"/>
              <w:rPr>
                <w:sz w:val="20"/>
                <w:highlight w:val="none"/>
              </w:rPr>
            </w:pPr>
            <w:r>
              <w:rPr>
                <w:sz w:val="20"/>
                <w:highlight w:val="none"/>
              </w:rPr>
              <w:t>十七、援助其他地区支出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540" w:type="dxa"/>
          </w:tcPr>
          <w:p>
            <w:pPr>
              <w:pStyle w:val="16"/>
              <w:spacing w:before="30"/>
              <w:ind w:left="107"/>
              <w:rPr>
                <w:sz w:val="20"/>
                <w:highlight w:val="none"/>
              </w:rPr>
            </w:pPr>
            <w:r>
              <w:rPr>
                <w:w w:val="99"/>
                <w:sz w:val="20"/>
                <w:highlight w:val="none"/>
              </w:rPr>
              <w:t xml:space="preserve"> </w:t>
            </w:r>
          </w:p>
        </w:tc>
        <w:tc>
          <w:tcPr>
            <w:tcW w:w="2240" w:type="dxa"/>
          </w:tcPr>
          <w:p>
            <w:pPr>
              <w:pStyle w:val="16"/>
              <w:spacing w:before="30"/>
              <w:ind w:right="-15"/>
              <w:jc w:val="right"/>
              <w:rPr>
                <w:sz w:val="20"/>
                <w:highlight w:val="none"/>
              </w:rPr>
            </w:pPr>
            <w:r>
              <w:rPr>
                <w:w w:val="99"/>
                <w:sz w:val="20"/>
                <w:highlight w:val="none"/>
              </w:rPr>
              <w:t xml:space="preserve"> </w:t>
            </w:r>
          </w:p>
        </w:tc>
        <w:tc>
          <w:tcPr>
            <w:tcW w:w="3216" w:type="dxa"/>
          </w:tcPr>
          <w:p>
            <w:pPr>
              <w:pStyle w:val="16"/>
              <w:spacing w:before="30"/>
              <w:ind w:left="107"/>
              <w:rPr>
                <w:sz w:val="20"/>
                <w:highlight w:val="none"/>
              </w:rPr>
            </w:pPr>
            <w:r>
              <w:rPr>
                <w:sz w:val="20"/>
                <w:highlight w:val="none"/>
              </w:rPr>
              <w:t>十八、自然资源海洋气象等支出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40" w:type="dxa"/>
          </w:tcPr>
          <w:p>
            <w:pPr>
              <w:pStyle w:val="16"/>
              <w:spacing w:before="30"/>
              <w:ind w:left="107"/>
              <w:rPr>
                <w:sz w:val="20"/>
                <w:highlight w:val="none"/>
              </w:rPr>
            </w:pPr>
            <w:r>
              <w:rPr>
                <w:w w:val="99"/>
                <w:sz w:val="20"/>
                <w:highlight w:val="none"/>
              </w:rPr>
              <w:t xml:space="preserve"> </w:t>
            </w:r>
          </w:p>
        </w:tc>
        <w:tc>
          <w:tcPr>
            <w:tcW w:w="2240" w:type="dxa"/>
          </w:tcPr>
          <w:p>
            <w:pPr>
              <w:pStyle w:val="16"/>
              <w:spacing w:before="30"/>
              <w:ind w:right="-15"/>
              <w:jc w:val="right"/>
              <w:rPr>
                <w:sz w:val="20"/>
                <w:highlight w:val="none"/>
              </w:rPr>
            </w:pPr>
            <w:r>
              <w:rPr>
                <w:w w:val="99"/>
                <w:sz w:val="20"/>
                <w:highlight w:val="none"/>
              </w:rPr>
              <w:t xml:space="preserve"> </w:t>
            </w:r>
          </w:p>
        </w:tc>
        <w:tc>
          <w:tcPr>
            <w:tcW w:w="3216" w:type="dxa"/>
          </w:tcPr>
          <w:p>
            <w:pPr>
              <w:pStyle w:val="16"/>
              <w:spacing w:before="30"/>
              <w:ind w:left="107"/>
              <w:rPr>
                <w:sz w:val="20"/>
                <w:highlight w:val="none"/>
              </w:rPr>
            </w:pPr>
            <w:r>
              <w:rPr>
                <w:sz w:val="20"/>
                <w:highlight w:val="none"/>
              </w:rPr>
              <w:t>十九、住房保障支出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906.69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40" w:type="dxa"/>
          </w:tcPr>
          <w:p>
            <w:pPr>
              <w:pStyle w:val="16"/>
              <w:spacing w:before="30"/>
              <w:ind w:left="107"/>
              <w:rPr>
                <w:sz w:val="20"/>
                <w:highlight w:val="none"/>
              </w:rPr>
            </w:pPr>
            <w:r>
              <w:rPr>
                <w:w w:val="99"/>
                <w:sz w:val="20"/>
                <w:highlight w:val="none"/>
              </w:rPr>
              <w:t xml:space="preserve"> </w:t>
            </w:r>
          </w:p>
        </w:tc>
        <w:tc>
          <w:tcPr>
            <w:tcW w:w="2240" w:type="dxa"/>
          </w:tcPr>
          <w:p>
            <w:pPr>
              <w:pStyle w:val="16"/>
              <w:spacing w:before="30"/>
              <w:ind w:right="-15"/>
              <w:jc w:val="right"/>
              <w:rPr>
                <w:sz w:val="20"/>
                <w:highlight w:val="none"/>
              </w:rPr>
            </w:pPr>
            <w:r>
              <w:rPr>
                <w:w w:val="99"/>
                <w:sz w:val="20"/>
                <w:highlight w:val="none"/>
              </w:rPr>
              <w:t xml:space="preserve"> </w:t>
            </w:r>
          </w:p>
        </w:tc>
        <w:tc>
          <w:tcPr>
            <w:tcW w:w="3216" w:type="dxa"/>
          </w:tcPr>
          <w:p>
            <w:pPr>
              <w:pStyle w:val="16"/>
              <w:spacing w:before="30"/>
              <w:ind w:left="107"/>
              <w:rPr>
                <w:sz w:val="20"/>
                <w:highlight w:val="none"/>
              </w:rPr>
            </w:pPr>
            <w:r>
              <w:rPr>
                <w:sz w:val="20"/>
                <w:highlight w:val="none"/>
              </w:rPr>
              <w:t>二十、粮油物资储备支出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40" w:type="dxa"/>
          </w:tcPr>
          <w:p>
            <w:pPr>
              <w:pStyle w:val="16"/>
              <w:spacing w:before="0"/>
              <w:rPr>
                <w:rFonts w:ascii="Times New Roman"/>
                <w:sz w:val="18"/>
                <w:highlight w:val="none"/>
              </w:rPr>
            </w:pPr>
          </w:p>
        </w:tc>
        <w:tc>
          <w:tcPr>
            <w:tcW w:w="2240" w:type="dxa"/>
          </w:tcPr>
          <w:p>
            <w:pPr>
              <w:pStyle w:val="16"/>
              <w:spacing w:before="0"/>
              <w:rPr>
                <w:rFonts w:ascii="Times New Roman"/>
                <w:sz w:val="18"/>
                <w:highlight w:val="none"/>
              </w:rPr>
            </w:pPr>
          </w:p>
        </w:tc>
        <w:tc>
          <w:tcPr>
            <w:tcW w:w="3216" w:type="dxa"/>
          </w:tcPr>
          <w:p>
            <w:pPr>
              <w:pStyle w:val="16"/>
              <w:spacing w:before="30"/>
              <w:ind w:left="107"/>
              <w:rPr>
                <w:sz w:val="20"/>
                <w:highlight w:val="none"/>
              </w:rPr>
            </w:pPr>
            <w:r>
              <w:rPr>
                <w:sz w:val="20"/>
                <w:highlight w:val="none"/>
              </w:rPr>
              <w:t>二十一、国有资本经营预算支出</w:t>
            </w:r>
          </w:p>
        </w:tc>
        <w:tc>
          <w:tcPr>
            <w:tcW w:w="1617" w:type="dxa"/>
            <w:vAlign w:val="center"/>
          </w:tcPr>
          <w:p>
            <w:pPr>
              <w:keepNext w:val="0"/>
              <w:keepLines w:val="0"/>
              <w:widowControl/>
              <w:suppressLineNumbers w:val="0"/>
              <w:jc w:val="right"/>
              <w:textAlignment w:val="center"/>
              <w:rPr>
                <w:rFonts w:ascii="Times New Roman"/>
                <w:sz w:val="18"/>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540" w:type="dxa"/>
          </w:tcPr>
          <w:p>
            <w:pPr>
              <w:pStyle w:val="16"/>
              <w:spacing w:before="0"/>
              <w:rPr>
                <w:rFonts w:ascii="Times New Roman"/>
                <w:sz w:val="18"/>
                <w:highlight w:val="none"/>
              </w:rPr>
            </w:pPr>
          </w:p>
        </w:tc>
        <w:tc>
          <w:tcPr>
            <w:tcW w:w="2240" w:type="dxa"/>
          </w:tcPr>
          <w:p>
            <w:pPr>
              <w:pStyle w:val="16"/>
              <w:spacing w:before="0"/>
              <w:rPr>
                <w:rFonts w:ascii="Times New Roman"/>
                <w:sz w:val="18"/>
                <w:highlight w:val="none"/>
              </w:rPr>
            </w:pPr>
          </w:p>
        </w:tc>
        <w:tc>
          <w:tcPr>
            <w:tcW w:w="3216" w:type="dxa"/>
          </w:tcPr>
          <w:p>
            <w:pPr>
              <w:pStyle w:val="16"/>
              <w:spacing w:before="30"/>
              <w:ind w:left="107"/>
              <w:rPr>
                <w:sz w:val="20"/>
                <w:highlight w:val="none"/>
              </w:rPr>
            </w:pPr>
            <w:r>
              <w:rPr>
                <w:sz w:val="20"/>
                <w:highlight w:val="none"/>
              </w:rPr>
              <w:t>二十二、灾害防治及应急管理支出</w:t>
            </w:r>
          </w:p>
        </w:tc>
        <w:tc>
          <w:tcPr>
            <w:tcW w:w="1617" w:type="dxa"/>
            <w:vAlign w:val="center"/>
          </w:tcPr>
          <w:p>
            <w:pPr>
              <w:keepNext w:val="0"/>
              <w:keepLines w:val="0"/>
              <w:widowControl/>
              <w:suppressLineNumbers w:val="0"/>
              <w:jc w:val="right"/>
              <w:textAlignment w:val="center"/>
              <w:rPr>
                <w:rFonts w:ascii="Times New Roman"/>
                <w:sz w:val="18"/>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40" w:type="dxa"/>
          </w:tcPr>
          <w:p>
            <w:pPr>
              <w:pStyle w:val="16"/>
              <w:spacing w:before="28"/>
              <w:ind w:left="107"/>
              <w:rPr>
                <w:sz w:val="20"/>
                <w:highlight w:val="none"/>
              </w:rPr>
            </w:pPr>
            <w:r>
              <w:rPr>
                <w:w w:val="99"/>
                <w:sz w:val="20"/>
                <w:highlight w:val="none"/>
              </w:rPr>
              <w:t xml:space="preserve"> </w:t>
            </w:r>
          </w:p>
        </w:tc>
        <w:tc>
          <w:tcPr>
            <w:tcW w:w="2240" w:type="dxa"/>
          </w:tcPr>
          <w:p>
            <w:pPr>
              <w:pStyle w:val="16"/>
              <w:spacing w:before="28"/>
              <w:ind w:right="-15"/>
              <w:jc w:val="right"/>
              <w:rPr>
                <w:sz w:val="20"/>
                <w:highlight w:val="none"/>
              </w:rPr>
            </w:pPr>
            <w:r>
              <w:rPr>
                <w:w w:val="99"/>
                <w:sz w:val="20"/>
                <w:highlight w:val="none"/>
              </w:rPr>
              <w:t xml:space="preserve"> </w:t>
            </w:r>
          </w:p>
        </w:tc>
        <w:tc>
          <w:tcPr>
            <w:tcW w:w="3216" w:type="dxa"/>
          </w:tcPr>
          <w:p>
            <w:pPr>
              <w:pStyle w:val="16"/>
              <w:spacing w:before="28"/>
              <w:ind w:left="107"/>
              <w:rPr>
                <w:sz w:val="20"/>
                <w:highlight w:val="none"/>
              </w:rPr>
            </w:pPr>
            <w:r>
              <w:rPr>
                <w:sz w:val="20"/>
                <w:highlight w:val="none"/>
              </w:rPr>
              <w:t>二十三、其他支出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40" w:type="dxa"/>
          </w:tcPr>
          <w:p>
            <w:pPr>
              <w:pStyle w:val="16"/>
              <w:spacing w:before="28"/>
              <w:ind w:left="107"/>
              <w:rPr>
                <w:sz w:val="20"/>
                <w:highlight w:val="none"/>
              </w:rPr>
            </w:pPr>
            <w:r>
              <w:rPr>
                <w:w w:val="99"/>
                <w:sz w:val="20"/>
                <w:highlight w:val="none"/>
              </w:rPr>
              <w:t xml:space="preserve"> </w:t>
            </w:r>
          </w:p>
        </w:tc>
        <w:tc>
          <w:tcPr>
            <w:tcW w:w="2240" w:type="dxa"/>
          </w:tcPr>
          <w:p>
            <w:pPr>
              <w:pStyle w:val="16"/>
              <w:spacing w:before="28"/>
              <w:ind w:right="-15"/>
              <w:jc w:val="right"/>
              <w:rPr>
                <w:sz w:val="20"/>
                <w:highlight w:val="none"/>
              </w:rPr>
            </w:pPr>
            <w:r>
              <w:rPr>
                <w:w w:val="99"/>
                <w:sz w:val="20"/>
                <w:highlight w:val="none"/>
              </w:rPr>
              <w:t xml:space="preserve"> </w:t>
            </w:r>
          </w:p>
        </w:tc>
        <w:tc>
          <w:tcPr>
            <w:tcW w:w="3216" w:type="dxa"/>
          </w:tcPr>
          <w:p>
            <w:pPr>
              <w:pStyle w:val="16"/>
              <w:spacing w:before="28"/>
              <w:ind w:left="107"/>
              <w:rPr>
                <w:sz w:val="20"/>
                <w:highlight w:val="none"/>
              </w:rPr>
            </w:pPr>
            <w:r>
              <w:rPr>
                <w:sz w:val="20"/>
                <w:highlight w:val="none"/>
              </w:rPr>
              <w:t>二十四、债务还本支出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40" w:type="dxa"/>
          </w:tcPr>
          <w:p>
            <w:pPr>
              <w:pStyle w:val="16"/>
              <w:spacing w:before="28"/>
              <w:ind w:left="107"/>
              <w:rPr>
                <w:sz w:val="20"/>
                <w:highlight w:val="none"/>
              </w:rPr>
            </w:pPr>
            <w:r>
              <w:rPr>
                <w:w w:val="99"/>
                <w:sz w:val="20"/>
                <w:highlight w:val="none"/>
              </w:rPr>
              <w:t xml:space="preserve"> </w:t>
            </w:r>
          </w:p>
        </w:tc>
        <w:tc>
          <w:tcPr>
            <w:tcW w:w="2240" w:type="dxa"/>
          </w:tcPr>
          <w:p>
            <w:pPr>
              <w:pStyle w:val="16"/>
              <w:spacing w:before="28"/>
              <w:ind w:right="-15"/>
              <w:jc w:val="right"/>
              <w:rPr>
                <w:sz w:val="20"/>
                <w:highlight w:val="none"/>
              </w:rPr>
            </w:pPr>
            <w:r>
              <w:rPr>
                <w:w w:val="99"/>
                <w:sz w:val="20"/>
                <w:highlight w:val="none"/>
              </w:rPr>
              <w:t xml:space="preserve"> </w:t>
            </w:r>
          </w:p>
        </w:tc>
        <w:tc>
          <w:tcPr>
            <w:tcW w:w="3216" w:type="dxa"/>
          </w:tcPr>
          <w:p>
            <w:pPr>
              <w:pStyle w:val="16"/>
              <w:spacing w:before="28"/>
              <w:ind w:left="107"/>
              <w:rPr>
                <w:sz w:val="20"/>
                <w:highlight w:val="none"/>
              </w:rPr>
            </w:pPr>
            <w:r>
              <w:rPr>
                <w:sz w:val="20"/>
                <w:highlight w:val="none"/>
              </w:rPr>
              <w:t>二十五、债务付息支出</w:t>
            </w:r>
          </w:p>
        </w:tc>
        <w:tc>
          <w:tcPr>
            <w:tcW w:w="1617"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540" w:type="dxa"/>
          </w:tcPr>
          <w:p>
            <w:pPr>
              <w:pStyle w:val="16"/>
              <w:spacing w:before="0"/>
              <w:rPr>
                <w:rFonts w:ascii="Times New Roman"/>
                <w:sz w:val="18"/>
                <w:highlight w:val="none"/>
              </w:rPr>
            </w:pPr>
          </w:p>
        </w:tc>
        <w:tc>
          <w:tcPr>
            <w:tcW w:w="2240" w:type="dxa"/>
          </w:tcPr>
          <w:p>
            <w:pPr>
              <w:pStyle w:val="16"/>
              <w:spacing w:before="0"/>
              <w:rPr>
                <w:rFonts w:ascii="Times New Roman"/>
                <w:sz w:val="18"/>
                <w:highlight w:val="none"/>
              </w:rPr>
            </w:pPr>
          </w:p>
        </w:tc>
        <w:tc>
          <w:tcPr>
            <w:tcW w:w="3216" w:type="dxa"/>
          </w:tcPr>
          <w:p>
            <w:pPr>
              <w:pStyle w:val="16"/>
              <w:spacing w:before="28"/>
              <w:ind w:left="107"/>
              <w:rPr>
                <w:sz w:val="20"/>
                <w:highlight w:val="none"/>
              </w:rPr>
            </w:pPr>
            <w:r>
              <w:rPr>
                <w:sz w:val="20"/>
                <w:highlight w:val="none"/>
              </w:rPr>
              <w:t>二十六、抗疫特别国债安排的支出</w:t>
            </w:r>
          </w:p>
        </w:tc>
        <w:tc>
          <w:tcPr>
            <w:tcW w:w="1617" w:type="dxa"/>
            <w:vAlign w:val="center"/>
          </w:tcPr>
          <w:p>
            <w:pPr>
              <w:keepNext w:val="0"/>
              <w:keepLines w:val="0"/>
              <w:widowControl/>
              <w:suppressLineNumbers w:val="0"/>
              <w:jc w:val="right"/>
              <w:textAlignment w:val="center"/>
              <w:rPr>
                <w:rFonts w:ascii="Times New Roman"/>
                <w:sz w:val="18"/>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40" w:type="dxa"/>
          </w:tcPr>
          <w:p>
            <w:pPr>
              <w:pStyle w:val="16"/>
              <w:spacing w:before="30"/>
              <w:ind w:right="1096"/>
              <w:jc w:val="right"/>
              <w:rPr>
                <w:b/>
                <w:sz w:val="20"/>
                <w:highlight w:val="none"/>
              </w:rPr>
            </w:pPr>
            <w:r>
              <w:rPr>
                <w:b/>
                <w:w w:val="95"/>
                <w:sz w:val="20"/>
                <w:highlight w:val="none"/>
              </w:rPr>
              <w:t>本年收入合计</w:t>
            </w:r>
          </w:p>
        </w:tc>
        <w:tc>
          <w:tcPr>
            <w:tcW w:w="2240"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4,713.80</w:t>
            </w:r>
          </w:p>
        </w:tc>
        <w:tc>
          <w:tcPr>
            <w:tcW w:w="3216" w:type="dxa"/>
          </w:tcPr>
          <w:p>
            <w:pPr>
              <w:pStyle w:val="16"/>
              <w:spacing w:before="30"/>
              <w:ind w:left="1005"/>
              <w:rPr>
                <w:b/>
                <w:sz w:val="20"/>
                <w:highlight w:val="none"/>
              </w:rPr>
            </w:pPr>
            <w:r>
              <w:rPr>
                <w:b/>
                <w:sz w:val="20"/>
                <w:highlight w:val="none"/>
              </w:rPr>
              <w:t>本年支出合计</w:t>
            </w:r>
          </w:p>
        </w:tc>
        <w:tc>
          <w:tcPr>
            <w:tcW w:w="1617" w:type="dxa"/>
            <w:vAlign w:val="center"/>
          </w:tcPr>
          <w:p>
            <w:pPr>
              <w:keepNext w:val="0"/>
              <w:keepLines w:val="0"/>
              <w:widowControl/>
              <w:suppressLineNumbers w:val="0"/>
              <w:jc w:val="right"/>
              <w:textAlignment w:val="center"/>
              <w:rPr>
                <w:rFonts w:ascii="Times New Roman"/>
                <w:sz w:val="18"/>
                <w:highlight w:val="none"/>
              </w:rPr>
            </w:pPr>
            <w:r>
              <w:rPr>
                <w:rFonts w:hint="eastAsia" w:ascii="宋体" w:hAnsi="宋体" w:eastAsia="宋体" w:cs="宋体"/>
                <w:i w:val="0"/>
                <w:color w:val="000000"/>
                <w:kern w:val="0"/>
                <w:sz w:val="22"/>
                <w:szCs w:val="22"/>
                <w:highlight w:val="none"/>
                <w:u w:val="none"/>
                <w:lang w:val="en-US" w:eastAsia="zh-CN" w:bidi="ar"/>
              </w:rPr>
              <w:t>4,530.02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40" w:type="dxa"/>
          </w:tcPr>
          <w:p>
            <w:pPr>
              <w:pStyle w:val="16"/>
              <w:spacing w:before="30"/>
              <w:ind w:right="1098"/>
              <w:jc w:val="right"/>
              <w:rPr>
                <w:sz w:val="20"/>
                <w:highlight w:val="none"/>
              </w:rPr>
            </w:pPr>
            <w:r>
              <w:rPr>
                <w:w w:val="95"/>
                <w:sz w:val="20"/>
                <w:highlight w:val="none"/>
              </w:rPr>
              <w:t>使用非财政拨款结余</w:t>
            </w:r>
          </w:p>
        </w:tc>
        <w:tc>
          <w:tcPr>
            <w:tcW w:w="2240"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0.00</w:t>
            </w:r>
          </w:p>
        </w:tc>
        <w:tc>
          <w:tcPr>
            <w:tcW w:w="3216" w:type="dxa"/>
          </w:tcPr>
          <w:p>
            <w:pPr>
              <w:pStyle w:val="16"/>
              <w:spacing w:before="30"/>
              <w:ind w:left="510"/>
              <w:rPr>
                <w:sz w:val="20"/>
                <w:highlight w:val="none"/>
              </w:rPr>
            </w:pPr>
            <w:r>
              <w:rPr>
                <w:sz w:val="20"/>
                <w:highlight w:val="none"/>
              </w:rPr>
              <w:t>结余分配</w:t>
            </w:r>
          </w:p>
        </w:tc>
        <w:tc>
          <w:tcPr>
            <w:tcW w:w="1617" w:type="dxa"/>
            <w:vAlign w:val="center"/>
          </w:tcPr>
          <w:p>
            <w:pPr>
              <w:keepNext w:val="0"/>
              <w:keepLines w:val="0"/>
              <w:widowControl/>
              <w:suppressLineNumbers w:val="0"/>
              <w:jc w:val="right"/>
              <w:textAlignment w:val="center"/>
              <w:rPr>
                <w:rFonts w:ascii="Times New Roman"/>
                <w:sz w:val="18"/>
                <w:highlight w:val="none"/>
              </w:rPr>
            </w:pPr>
            <w:r>
              <w:rPr>
                <w:rFonts w:hint="eastAsia" w:ascii="宋体" w:hAnsi="宋体" w:eastAsia="宋体" w:cs="宋体"/>
                <w:i w:val="0"/>
                <w:color w:val="000000"/>
                <w:kern w:val="0"/>
                <w:sz w:val="22"/>
                <w:szCs w:val="22"/>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40" w:type="dxa"/>
          </w:tcPr>
          <w:p>
            <w:pPr>
              <w:pStyle w:val="16"/>
              <w:spacing w:before="30"/>
              <w:ind w:left="510"/>
              <w:rPr>
                <w:sz w:val="20"/>
                <w:highlight w:val="none"/>
              </w:rPr>
            </w:pPr>
            <w:r>
              <w:rPr>
                <w:sz w:val="20"/>
                <w:highlight w:val="none"/>
              </w:rPr>
              <w:t>年初结转和结余</w:t>
            </w:r>
          </w:p>
        </w:tc>
        <w:tc>
          <w:tcPr>
            <w:tcW w:w="2240"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184.52</w:t>
            </w:r>
          </w:p>
        </w:tc>
        <w:tc>
          <w:tcPr>
            <w:tcW w:w="3216" w:type="dxa"/>
          </w:tcPr>
          <w:p>
            <w:pPr>
              <w:pStyle w:val="16"/>
              <w:spacing w:before="30"/>
              <w:ind w:left="510"/>
              <w:rPr>
                <w:sz w:val="20"/>
                <w:highlight w:val="none"/>
              </w:rPr>
            </w:pPr>
            <w:r>
              <w:rPr>
                <w:sz w:val="20"/>
                <w:highlight w:val="none"/>
              </w:rPr>
              <w:t>年末结转和结余</w:t>
            </w:r>
          </w:p>
        </w:tc>
        <w:tc>
          <w:tcPr>
            <w:tcW w:w="1617" w:type="dxa"/>
            <w:vAlign w:val="center"/>
          </w:tcPr>
          <w:p>
            <w:pPr>
              <w:keepNext w:val="0"/>
              <w:keepLines w:val="0"/>
              <w:widowControl/>
              <w:suppressLineNumbers w:val="0"/>
              <w:jc w:val="right"/>
              <w:textAlignment w:val="center"/>
              <w:rPr>
                <w:rFonts w:ascii="Times New Roman"/>
                <w:sz w:val="18"/>
                <w:highlight w:val="none"/>
              </w:rPr>
            </w:pPr>
            <w:r>
              <w:rPr>
                <w:rFonts w:hint="eastAsia" w:ascii="宋体" w:hAnsi="宋体" w:eastAsia="宋体" w:cs="宋体"/>
                <w:i w:val="0"/>
                <w:color w:val="000000"/>
                <w:kern w:val="0"/>
                <w:sz w:val="22"/>
                <w:szCs w:val="22"/>
                <w:highlight w:val="none"/>
                <w:u w:val="none"/>
                <w:lang w:val="en-US" w:eastAsia="zh-CN" w:bidi="ar"/>
              </w:rPr>
              <w:t>368.31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40" w:type="dxa"/>
          </w:tcPr>
          <w:p>
            <w:pPr>
              <w:pStyle w:val="16"/>
              <w:spacing w:before="30"/>
              <w:ind w:left="107"/>
              <w:jc w:val="center"/>
              <w:rPr>
                <w:sz w:val="20"/>
                <w:highlight w:val="none"/>
              </w:rPr>
            </w:pPr>
            <w:r>
              <w:rPr>
                <w:w w:val="99"/>
                <w:sz w:val="20"/>
                <w:highlight w:val="none"/>
              </w:rPr>
              <w:t xml:space="preserve"> </w:t>
            </w:r>
          </w:p>
        </w:tc>
        <w:tc>
          <w:tcPr>
            <w:tcW w:w="2240" w:type="dxa"/>
            <w:vAlign w:val="center"/>
          </w:tcPr>
          <w:p>
            <w:pPr>
              <w:jc w:val="right"/>
              <w:rPr>
                <w:sz w:val="20"/>
                <w:highlight w:val="none"/>
              </w:rPr>
            </w:pPr>
          </w:p>
        </w:tc>
        <w:tc>
          <w:tcPr>
            <w:tcW w:w="3216" w:type="dxa"/>
          </w:tcPr>
          <w:p>
            <w:pPr>
              <w:pStyle w:val="16"/>
              <w:spacing w:before="30"/>
              <w:ind w:left="107"/>
              <w:rPr>
                <w:sz w:val="20"/>
                <w:highlight w:val="none"/>
              </w:rPr>
            </w:pPr>
            <w:r>
              <w:rPr>
                <w:w w:val="99"/>
                <w:sz w:val="20"/>
                <w:highlight w:val="none"/>
              </w:rPr>
              <w:t xml:space="preserve"> </w:t>
            </w:r>
          </w:p>
        </w:tc>
        <w:tc>
          <w:tcPr>
            <w:tcW w:w="1617" w:type="dxa"/>
            <w:vAlign w:val="center"/>
          </w:tcPr>
          <w:p>
            <w:pPr>
              <w:jc w:val="right"/>
              <w:rPr>
                <w:rFonts w:ascii="Times New Roman"/>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40" w:type="dxa"/>
          </w:tcPr>
          <w:p>
            <w:pPr>
              <w:pStyle w:val="16"/>
              <w:spacing w:before="30"/>
              <w:ind w:left="11"/>
              <w:jc w:val="center"/>
              <w:rPr>
                <w:b/>
                <w:sz w:val="20"/>
                <w:highlight w:val="none"/>
              </w:rPr>
            </w:pPr>
            <w:r>
              <w:rPr>
                <w:b/>
                <w:sz w:val="20"/>
                <w:highlight w:val="none"/>
              </w:rPr>
              <w:t>总计</w:t>
            </w:r>
          </w:p>
        </w:tc>
        <w:tc>
          <w:tcPr>
            <w:tcW w:w="2240" w:type="dxa"/>
            <w:vAlign w:val="center"/>
          </w:tcPr>
          <w:p>
            <w:pPr>
              <w:keepNext w:val="0"/>
              <w:keepLines w:val="0"/>
              <w:widowControl/>
              <w:suppressLineNumbers w:val="0"/>
              <w:jc w:val="right"/>
              <w:textAlignment w:val="center"/>
              <w:rPr>
                <w:sz w:val="20"/>
                <w:highlight w:val="none"/>
              </w:rPr>
            </w:pPr>
            <w:r>
              <w:rPr>
                <w:rFonts w:hint="eastAsia" w:ascii="宋体" w:hAnsi="宋体" w:eastAsia="宋体" w:cs="宋体"/>
                <w:i w:val="0"/>
                <w:color w:val="000000"/>
                <w:kern w:val="0"/>
                <w:sz w:val="22"/>
                <w:szCs w:val="22"/>
                <w:highlight w:val="none"/>
                <w:u w:val="none"/>
                <w:lang w:val="en-US" w:eastAsia="zh-CN" w:bidi="ar"/>
              </w:rPr>
              <w:t>4,898.32</w:t>
            </w:r>
          </w:p>
        </w:tc>
        <w:tc>
          <w:tcPr>
            <w:tcW w:w="3216" w:type="dxa"/>
          </w:tcPr>
          <w:p>
            <w:pPr>
              <w:pStyle w:val="16"/>
              <w:spacing w:before="30"/>
              <w:ind w:left="1085" w:right="1075"/>
              <w:jc w:val="center"/>
              <w:rPr>
                <w:b/>
                <w:sz w:val="20"/>
                <w:highlight w:val="none"/>
              </w:rPr>
            </w:pPr>
            <w:r>
              <w:rPr>
                <w:b/>
                <w:sz w:val="20"/>
                <w:highlight w:val="none"/>
              </w:rPr>
              <w:t>总计</w:t>
            </w:r>
          </w:p>
        </w:tc>
        <w:tc>
          <w:tcPr>
            <w:tcW w:w="1617" w:type="dxa"/>
            <w:vAlign w:val="center"/>
          </w:tcPr>
          <w:p>
            <w:pPr>
              <w:keepNext w:val="0"/>
              <w:keepLines w:val="0"/>
              <w:widowControl/>
              <w:suppressLineNumbers w:val="0"/>
              <w:jc w:val="right"/>
              <w:textAlignment w:val="center"/>
              <w:rPr>
                <w:rFonts w:ascii="Times New Roman"/>
                <w:sz w:val="18"/>
                <w:highlight w:val="none"/>
              </w:rPr>
            </w:pPr>
            <w:r>
              <w:rPr>
                <w:rFonts w:hint="eastAsia" w:ascii="宋体" w:hAnsi="宋体" w:eastAsia="宋体" w:cs="宋体"/>
                <w:i w:val="0"/>
                <w:color w:val="000000"/>
                <w:kern w:val="0"/>
                <w:sz w:val="22"/>
                <w:szCs w:val="22"/>
                <w:highlight w:val="none"/>
                <w:u w:val="none"/>
                <w:lang w:val="en-US" w:eastAsia="zh-CN" w:bidi="ar"/>
              </w:rPr>
              <w:t>4,898.32</w:t>
            </w:r>
          </w:p>
        </w:tc>
      </w:tr>
    </w:tbl>
    <w:p>
      <w:pPr>
        <w:rPr>
          <w:rFonts w:ascii="Times New Roman"/>
          <w:sz w:val="18"/>
          <w:highlight w:val="none"/>
        </w:rPr>
        <w:sectPr>
          <w:pgSz w:w="16840" w:h="11910" w:orient="landscape"/>
          <w:pgMar w:top="1100" w:right="1320" w:bottom="280" w:left="1320" w:header="720" w:footer="720" w:gutter="0"/>
          <w:cols w:space="720" w:num="1"/>
        </w:sectPr>
      </w:pPr>
    </w:p>
    <w:p>
      <w:pPr>
        <w:pStyle w:val="12"/>
        <w:spacing w:before="51"/>
        <w:ind w:firstLine="3600" w:firstLineChars="1000"/>
        <w:jc w:val="both"/>
        <w:rPr>
          <w:highlight w:val="none"/>
        </w:rPr>
      </w:pPr>
    </w:p>
    <w:p>
      <w:pPr>
        <w:pStyle w:val="12"/>
        <w:spacing w:before="51"/>
        <w:ind w:firstLine="5760" w:firstLineChars="1600"/>
        <w:jc w:val="both"/>
        <w:rPr>
          <w:highlight w:val="none"/>
        </w:rPr>
      </w:pPr>
      <w:r>
        <w:rPr>
          <w:highlight w:val="none"/>
        </w:rPr>
        <w:t>收入决算表</w:t>
      </w:r>
    </w:p>
    <w:p>
      <w:pPr>
        <w:pStyle w:val="2"/>
        <w:spacing w:before="9"/>
        <w:rPr>
          <w:sz w:val="29"/>
          <w:highlight w:val="none"/>
        </w:rPr>
      </w:pPr>
    </w:p>
    <w:p>
      <w:pPr>
        <w:spacing w:before="77"/>
        <w:ind w:right="257"/>
        <w:jc w:val="right"/>
        <w:rPr>
          <w:sz w:val="20"/>
          <w:highlight w:val="none"/>
        </w:rPr>
      </w:pPr>
      <w:r>
        <w:rPr>
          <w:spacing w:val="-18"/>
          <w:sz w:val="20"/>
          <w:highlight w:val="none"/>
        </w:rPr>
        <w:t xml:space="preserve">公开 </w:t>
      </w:r>
      <w:r>
        <w:rPr>
          <w:rFonts w:ascii="Times New Roman" w:eastAsia="Times New Roman"/>
          <w:sz w:val="20"/>
          <w:highlight w:val="none"/>
        </w:rPr>
        <w:t xml:space="preserve">02 </w:t>
      </w:r>
      <w:r>
        <w:rPr>
          <w:sz w:val="20"/>
          <w:highlight w:val="none"/>
        </w:rPr>
        <w:t>表</w:t>
      </w:r>
    </w:p>
    <w:p>
      <w:pPr>
        <w:pStyle w:val="2"/>
        <w:spacing w:before="9"/>
        <w:rPr>
          <w:sz w:val="16"/>
          <w:highlight w:val="none"/>
        </w:rPr>
      </w:pPr>
    </w:p>
    <w:p>
      <w:pPr>
        <w:tabs>
          <w:tab w:val="left" w:pos="12277"/>
        </w:tabs>
        <w:spacing w:after="33"/>
        <w:ind w:right="260"/>
        <w:jc w:val="right"/>
        <w:rPr>
          <w:sz w:val="20"/>
          <w:highlight w:val="none"/>
        </w:rPr>
      </w:pPr>
      <w:r>
        <w:rPr>
          <w:sz w:val="20"/>
          <w:highlight w:val="none"/>
        </w:rPr>
        <w:t>部门名称：</w:t>
      </w:r>
      <w:r>
        <w:rPr>
          <w:rFonts w:hint="eastAsia" w:ascii="Times New Roman"/>
          <w:sz w:val="20"/>
          <w:highlight w:val="none"/>
          <w:lang w:eastAsia="zh-CN"/>
        </w:rPr>
        <w:t>连云港市海州区人民检察院</w:t>
      </w:r>
      <w:r>
        <w:rPr>
          <w:rFonts w:ascii="Times New Roman" w:eastAsia="Times New Roman"/>
          <w:sz w:val="20"/>
          <w:highlight w:val="none"/>
        </w:rPr>
        <w:tab/>
      </w:r>
      <w:r>
        <w:rPr>
          <w:w w:val="95"/>
          <w:sz w:val="20"/>
          <w:highlight w:val="none"/>
        </w:rPr>
        <w:t>金额单位：万元</w:t>
      </w:r>
    </w:p>
    <w:tbl>
      <w:tblPr>
        <w:tblStyle w:val="8"/>
        <w:tblW w:w="0" w:type="auto"/>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1838"/>
        <w:gridCol w:w="1416"/>
        <w:gridCol w:w="1415"/>
        <w:gridCol w:w="997"/>
        <w:gridCol w:w="1165"/>
        <w:gridCol w:w="1242"/>
        <w:gridCol w:w="1417"/>
        <w:gridCol w:w="1415"/>
        <w:gridCol w:w="19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832" w:type="dxa"/>
            <w:gridSpan w:val="2"/>
          </w:tcPr>
          <w:p>
            <w:pPr>
              <w:pStyle w:val="16"/>
              <w:spacing w:before="27"/>
              <w:ind w:left="1193" w:right="1188"/>
              <w:jc w:val="center"/>
              <w:rPr>
                <w:sz w:val="20"/>
                <w:szCs w:val="20"/>
                <w:highlight w:val="none"/>
              </w:rPr>
            </w:pPr>
            <w:r>
              <w:rPr>
                <w:sz w:val="20"/>
                <w:szCs w:val="20"/>
                <w:highlight w:val="none"/>
              </w:rPr>
              <w:t>项目</w:t>
            </w:r>
          </w:p>
        </w:tc>
        <w:tc>
          <w:tcPr>
            <w:tcW w:w="1416" w:type="dxa"/>
            <w:vMerge w:val="restart"/>
          </w:tcPr>
          <w:p>
            <w:pPr>
              <w:pStyle w:val="16"/>
              <w:spacing w:before="0"/>
              <w:rPr>
                <w:sz w:val="20"/>
                <w:szCs w:val="20"/>
                <w:highlight w:val="none"/>
              </w:rPr>
            </w:pPr>
          </w:p>
          <w:p>
            <w:pPr>
              <w:pStyle w:val="16"/>
              <w:spacing w:before="0"/>
              <w:rPr>
                <w:sz w:val="20"/>
                <w:szCs w:val="20"/>
                <w:highlight w:val="none"/>
              </w:rPr>
            </w:pPr>
          </w:p>
          <w:p>
            <w:pPr>
              <w:pStyle w:val="16"/>
              <w:spacing w:before="1"/>
              <w:ind w:left="108"/>
              <w:rPr>
                <w:sz w:val="20"/>
                <w:szCs w:val="20"/>
                <w:highlight w:val="none"/>
              </w:rPr>
            </w:pPr>
            <w:r>
              <w:rPr>
                <w:sz w:val="20"/>
                <w:szCs w:val="20"/>
                <w:highlight w:val="none"/>
              </w:rPr>
              <w:t>本年收入合计</w:t>
            </w:r>
          </w:p>
        </w:tc>
        <w:tc>
          <w:tcPr>
            <w:tcW w:w="1415" w:type="dxa"/>
            <w:vMerge w:val="restart"/>
          </w:tcPr>
          <w:p>
            <w:pPr>
              <w:pStyle w:val="16"/>
              <w:spacing w:before="0"/>
              <w:rPr>
                <w:sz w:val="20"/>
                <w:szCs w:val="20"/>
                <w:highlight w:val="none"/>
              </w:rPr>
            </w:pPr>
          </w:p>
          <w:p>
            <w:pPr>
              <w:pStyle w:val="16"/>
              <w:spacing w:before="0"/>
              <w:rPr>
                <w:sz w:val="20"/>
                <w:szCs w:val="20"/>
                <w:highlight w:val="none"/>
              </w:rPr>
            </w:pPr>
          </w:p>
          <w:p>
            <w:pPr>
              <w:pStyle w:val="16"/>
              <w:spacing w:before="1"/>
              <w:ind w:left="108"/>
              <w:rPr>
                <w:sz w:val="20"/>
                <w:szCs w:val="20"/>
                <w:highlight w:val="none"/>
              </w:rPr>
            </w:pPr>
            <w:r>
              <w:rPr>
                <w:sz w:val="20"/>
                <w:szCs w:val="20"/>
                <w:highlight w:val="none"/>
              </w:rPr>
              <w:t>财政拨款收入</w:t>
            </w:r>
          </w:p>
        </w:tc>
        <w:tc>
          <w:tcPr>
            <w:tcW w:w="997" w:type="dxa"/>
            <w:vMerge w:val="restart"/>
          </w:tcPr>
          <w:p>
            <w:pPr>
              <w:pStyle w:val="16"/>
              <w:spacing w:before="11"/>
              <w:rPr>
                <w:sz w:val="20"/>
                <w:szCs w:val="20"/>
                <w:highlight w:val="none"/>
              </w:rPr>
            </w:pPr>
          </w:p>
          <w:p>
            <w:pPr>
              <w:pStyle w:val="16"/>
              <w:spacing w:before="0" w:line="292" w:lineRule="auto"/>
              <w:ind w:left="200" w:right="186"/>
              <w:rPr>
                <w:sz w:val="20"/>
                <w:szCs w:val="20"/>
                <w:highlight w:val="none"/>
              </w:rPr>
            </w:pPr>
            <w:r>
              <w:rPr>
                <w:sz w:val="20"/>
                <w:szCs w:val="20"/>
                <w:highlight w:val="none"/>
              </w:rPr>
              <w:t>上级补助收入</w:t>
            </w:r>
          </w:p>
        </w:tc>
        <w:tc>
          <w:tcPr>
            <w:tcW w:w="2407" w:type="dxa"/>
            <w:gridSpan w:val="2"/>
          </w:tcPr>
          <w:p>
            <w:pPr>
              <w:pStyle w:val="16"/>
              <w:spacing w:before="27"/>
              <w:ind w:left="807"/>
              <w:rPr>
                <w:sz w:val="20"/>
                <w:szCs w:val="20"/>
                <w:highlight w:val="none"/>
              </w:rPr>
            </w:pPr>
            <w:r>
              <w:rPr>
                <w:sz w:val="20"/>
                <w:szCs w:val="20"/>
                <w:highlight w:val="none"/>
              </w:rPr>
              <w:t>事业收入</w:t>
            </w:r>
          </w:p>
        </w:tc>
        <w:tc>
          <w:tcPr>
            <w:tcW w:w="1417" w:type="dxa"/>
            <w:vMerge w:val="restart"/>
          </w:tcPr>
          <w:p>
            <w:pPr>
              <w:pStyle w:val="16"/>
              <w:spacing w:before="0"/>
              <w:rPr>
                <w:sz w:val="20"/>
                <w:szCs w:val="20"/>
                <w:highlight w:val="none"/>
              </w:rPr>
            </w:pPr>
          </w:p>
          <w:p>
            <w:pPr>
              <w:pStyle w:val="16"/>
              <w:spacing w:before="0"/>
              <w:rPr>
                <w:sz w:val="20"/>
                <w:szCs w:val="20"/>
                <w:highlight w:val="none"/>
              </w:rPr>
            </w:pPr>
          </w:p>
          <w:p>
            <w:pPr>
              <w:pStyle w:val="16"/>
              <w:spacing w:before="1"/>
              <w:ind w:left="315"/>
              <w:rPr>
                <w:sz w:val="20"/>
                <w:szCs w:val="20"/>
                <w:highlight w:val="none"/>
              </w:rPr>
            </w:pPr>
            <w:r>
              <w:rPr>
                <w:sz w:val="20"/>
                <w:szCs w:val="20"/>
                <w:highlight w:val="none"/>
              </w:rPr>
              <w:t>经营收入</w:t>
            </w:r>
          </w:p>
        </w:tc>
        <w:tc>
          <w:tcPr>
            <w:tcW w:w="1415" w:type="dxa"/>
            <w:vMerge w:val="restart"/>
          </w:tcPr>
          <w:p>
            <w:pPr>
              <w:pStyle w:val="16"/>
              <w:spacing w:before="11"/>
              <w:rPr>
                <w:sz w:val="20"/>
                <w:szCs w:val="20"/>
                <w:highlight w:val="none"/>
              </w:rPr>
            </w:pPr>
          </w:p>
          <w:p>
            <w:pPr>
              <w:pStyle w:val="16"/>
              <w:spacing w:before="0" w:line="292" w:lineRule="auto"/>
              <w:ind w:left="513" w:right="90" w:hanging="399"/>
              <w:rPr>
                <w:sz w:val="20"/>
                <w:szCs w:val="20"/>
                <w:highlight w:val="none"/>
              </w:rPr>
            </w:pPr>
            <w:r>
              <w:rPr>
                <w:sz w:val="20"/>
                <w:szCs w:val="20"/>
                <w:highlight w:val="none"/>
              </w:rPr>
              <w:t>附属单位上缴收入</w:t>
            </w:r>
          </w:p>
        </w:tc>
        <w:tc>
          <w:tcPr>
            <w:tcW w:w="1983" w:type="dxa"/>
            <w:vMerge w:val="restart"/>
          </w:tcPr>
          <w:p>
            <w:pPr>
              <w:pStyle w:val="16"/>
              <w:spacing w:before="0"/>
              <w:rPr>
                <w:sz w:val="20"/>
                <w:szCs w:val="20"/>
                <w:highlight w:val="none"/>
              </w:rPr>
            </w:pPr>
          </w:p>
          <w:p>
            <w:pPr>
              <w:pStyle w:val="16"/>
              <w:spacing w:before="0"/>
              <w:rPr>
                <w:sz w:val="20"/>
                <w:szCs w:val="20"/>
                <w:highlight w:val="none"/>
              </w:rPr>
            </w:pPr>
          </w:p>
          <w:p>
            <w:pPr>
              <w:pStyle w:val="16"/>
              <w:spacing w:before="1"/>
              <w:ind w:left="601"/>
              <w:rPr>
                <w:sz w:val="20"/>
                <w:szCs w:val="20"/>
                <w:highlight w:val="none"/>
              </w:rPr>
            </w:pPr>
            <w:r>
              <w:rPr>
                <w:sz w:val="20"/>
                <w:szCs w:val="20"/>
                <w:highlight w:val="none"/>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994" w:type="dxa"/>
          </w:tcPr>
          <w:p>
            <w:pPr>
              <w:pStyle w:val="16"/>
              <w:ind w:left="196"/>
              <w:rPr>
                <w:sz w:val="20"/>
                <w:szCs w:val="20"/>
                <w:highlight w:val="none"/>
              </w:rPr>
            </w:pPr>
            <w:r>
              <w:rPr>
                <w:sz w:val="20"/>
                <w:szCs w:val="20"/>
                <w:highlight w:val="none"/>
              </w:rPr>
              <w:t>功能分</w:t>
            </w:r>
          </w:p>
          <w:p>
            <w:pPr>
              <w:pStyle w:val="16"/>
              <w:spacing w:before="2" w:line="310" w:lineRule="atLeast"/>
              <w:ind w:left="295" w:right="187" w:hanging="99"/>
              <w:rPr>
                <w:sz w:val="20"/>
                <w:szCs w:val="20"/>
                <w:highlight w:val="none"/>
              </w:rPr>
            </w:pPr>
            <w:r>
              <w:rPr>
                <w:sz w:val="20"/>
                <w:szCs w:val="20"/>
                <w:highlight w:val="none"/>
              </w:rPr>
              <w:t>类科目编码</w:t>
            </w:r>
          </w:p>
        </w:tc>
        <w:tc>
          <w:tcPr>
            <w:tcW w:w="1838" w:type="dxa"/>
          </w:tcPr>
          <w:p>
            <w:pPr>
              <w:pStyle w:val="16"/>
              <w:spacing w:before="4"/>
              <w:rPr>
                <w:sz w:val="20"/>
                <w:szCs w:val="20"/>
                <w:highlight w:val="none"/>
              </w:rPr>
            </w:pPr>
          </w:p>
          <w:p>
            <w:pPr>
              <w:pStyle w:val="16"/>
              <w:spacing w:before="0"/>
              <w:ind w:left="518"/>
              <w:rPr>
                <w:sz w:val="20"/>
                <w:szCs w:val="20"/>
                <w:highlight w:val="none"/>
              </w:rPr>
            </w:pPr>
            <w:r>
              <w:rPr>
                <w:sz w:val="20"/>
                <w:szCs w:val="20"/>
                <w:highlight w:val="none"/>
              </w:rPr>
              <w:t>科目名称</w:t>
            </w:r>
          </w:p>
        </w:tc>
        <w:tc>
          <w:tcPr>
            <w:tcW w:w="1416" w:type="dxa"/>
            <w:vMerge w:val="continue"/>
            <w:tcBorders>
              <w:top w:val="nil"/>
            </w:tcBorders>
          </w:tcPr>
          <w:p>
            <w:pPr>
              <w:rPr>
                <w:sz w:val="20"/>
                <w:szCs w:val="20"/>
                <w:highlight w:val="none"/>
              </w:rPr>
            </w:pPr>
          </w:p>
        </w:tc>
        <w:tc>
          <w:tcPr>
            <w:tcW w:w="1415" w:type="dxa"/>
            <w:vMerge w:val="continue"/>
            <w:tcBorders>
              <w:top w:val="nil"/>
            </w:tcBorders>
          </w:tcPr>
          <w:p>
            <w:pPr>
              <w:rPr>
                <w:sz w:val="20"/>
                <w:szCs w:val="20"/>
                <w:highlight w:val="none"/>
              </w:rPr>
            </w:pPr>
          </w:p>
        </w:tc>
        <w:tc>
          <w:tcPr>
            <w:tcW w:w="997" w:type="dxa"/>
            <w:vMerge w:val="continue"/>
            <w:tcBorders>
              <w:top w:val="nil"/>
            </w:tcBorders>
          </w:tcPr>
          <w:p>
            <w:pPr>
              <w:rPr>
                <w:sz w:val="20"/>
                <w:szCs w:val="20"/>
                <w:highlight w:val="none"/>
              </w:rPr>
            </w:pPr>
          </w:p>
        </w:tc>
        <w:tc>
          <w:tcPr>
            <w:tcW w:w="1165" w:type="dxa"/>
          </w:tcPr>
          <w:p>
            <w:pPr>
              <w:pStyle w:val="16"/>
              <w:spacing w:before="4"/>
              <w:rPr>
                <w:sz w:val="20"/>
                <w:szCs w:val="20"/>
                <w:highlight w:val="none"/>
              </w:rPr>
            </w:pPr>
          </w:p>
          <w:p>
            <w:pPr>
              <w:pStyle w:val="16"/>
              <w:spacing w:before="0"/>
              <w:ind w:left="384"/>
              <w:rPr>
                <w:sz w:val="20"/>
                <w:szCs w:val="20"/>
                <w:highlight w:val="none"/>
              </w:rPr>
            </w:pPr>
            <w:r>
              <w:rPr>
                <w:sz w:val="20"/>
                <w:szCs w:val="20"/>
                <w:highlight w:val="none"/>
              </w:rPr>
              <w:t>小计</w:t>
            </w:r>
          </w:p>
        </w:tc>
        <w:tc>
          <w:tcPr>
            <w:tcW w:w="1242" w:type="dxa"/>
          </w:tcPr>
          <w:p>
            <w:pPr>
              <w:pStyle w:val="16"/>
              <w:spacing w:before="2"/>
              <w:rPr>
                <w:sz w:val="20"/>
                <w:szCs w:val="20"/>
                <w:highlight w:val="none"/>
              </w:rPr>
            </w:pPr>
          </w:p>
          <w:p>
            <w:pPr>
              <w:pStyle w:val="16"/>
              <w:spacing w:before="0" w:line="292" w:lineRule="auto"/>
              <w:ind w:left="422" w:right="109" w:hanging="300"/>
              <w:rPr>
                <w:sz w:val="20"/>
                <w:szCs w:val="20"/>
                <w:highlight w:val="none"/>
              </w:rPr>
            </w:pPr>
            <w:r>
              <w:rPr>
                <w:sz w:val="20"/>
                <w:szCs w:val="20"/>
                <w:highlight w:val="none"/>
              </w:rPr>
              <w:t>其中：教育收费</w:t>
            </w:r>
          </w:p>
        </w:tc>
        <w:tc>
          <w:tcPr>
            <w:tcW w:w="1417" w:type="dxa"/>
            <w:vMerge w:val="continue"/>
            <w:tcBorders>
              <w:top w:val="nil"/>
            </w:tcBorders>
          </w:tcPr>
          <w:p>
            <w:pPr>
              <w:rPr>
                <w:sz w:val="20"/>
                <w:szCs w:val="20"/>
                <w:highlight w:val="none"/>
              </w:rPr>
            </w:pPr>
          </w:p>
        </w:tc>
        <w:tc>
          <w:tcPr>
            <w:tcW w:w="1415" w:type="dxa"/>
            <w:vMerge w:val="continue"/>
            <w:tcBorders>
              <w:top w:val="nil"/>
            </w:tcBorders>
          </w:tcPr>
          <w:p>
            <w:pPr>
              <w:rPr>
                <w:sz w:val="20"/>
                <w:szCs w:val="20"/>
                <w:highlight w:val="none"/>
              </w:rPr>
            </w:pPr>
          </w:p>
        </w:tc>
        <w:tc>
          <w:tcPr>
            <w:tcW w:w="1983" w:type="dxa"/>
            <w:vMerge w:val="continue"/>
            <w:tcBorders>
              <w:top w:val="nil"/>
            </w:tcBorders>
          </w:tcPr>
          <w:p>
            <w:pPr>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832" w:type="dxa"/>
            <w:gridSpan w:val="2"/>
          </w:tcPr>
          <w:p>
            <w:pPr>
              <w:pStyle w:val="16"/>
              <w:spacing w:before="27"/>
              <w:ind w:left="1193" w:right="1188"/>
              <w:jc w:val="center"/>
              <w:rPr>
                <w:sz w:val="20"/>
                <w:szCs w:val="20"/>
                <w:highlight w:val="none"/>
              </w:rPr>
            </w:pPr>
            <w:r>
              <w:rPr>
                <w:sz w:val="20"/>
                <w:szCs w:val="20"/>
                <w:highlight w:val="none"/>
              </w:rPr>
              <w:t>合计</w:t>
            </w:r>
          </w:p>
        </w:tc>
        <w:tc>
          <w:tcPr>
            <w:tcW w:w="141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4,713.80</w:t>
            </w:r>
          </w:p>
        </w:tc>
        <w:tc>
          <w:tcPr>
            <w:tcW w:w="141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4,713.80</w:t>
            </w:r>
          </w:p>
        </w:tc>
        <w:tc>
          <w:tcPr>
            <w:tcW w:w="997"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16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24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17"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1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98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94"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204</w:t>
            </w:r>
          </w:p>
        </w:tc>
        <w:tc>
          <w:tcPr>
            <w:tcW w:w="1838"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公共安全支出</w:t>
            </w:r>
          </w:p>
        </w:tc>
        <w:tc>
          <w:tcPr>
            <w:tcW w:w="141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3,556.11</w:t>
            </w:r>
          </w:p>
        </w:tc>
        <w:tc>
          <w:tcPr>
            <w:tcW w:w="141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3,556.11</w:t>
            </w:r>
          </w:p>
        </w:tc>
        <w:tc>
          <w:tcPr>
            <w:tcW w:w="997"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16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24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17"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1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98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94"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20404</w:t>
            </w:r>
          </w:p>
        </w:tc>
        <w:tc>
          <w:tcPr>
            <w:tcW w:w="1838"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检察</w:t>
            </w:r>
          </w:p>
        </w:tc>
        <w:tc>
          <w:tcPr>
            <w:tcW w:w="141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3,556.11</w:t>
            </w:r>
          </w:p>
        </w:tc>
        <w:tc>
          <w:tcPr>
            <w:tcW w:w="141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3,556.11</w:t>
            </w:r>
          </w:p>
        </w:tc>
        <w:tc>
          <w:tcPr>
            <w:tcW w:w="997"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16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24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17"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1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98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94"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2040401</w:t>
            </w:r>
          </w:p>
        </w:tc>
        <w:tc>
          <w:tcPr>
            <w:tcW w:w="1838"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行政运行</w:t>
            </w:r>
          </w:p>
        </w:tc>
        <w:tc>
          <w:tcPr>
            <w:tcW w:w="141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3,153.11</w:t>
            </w:r>
          </w:p>
        </w:tc>
        <w:tc>
          <w:tcPr>
            <w:tcW w:w="141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3,153.11</w:t>
            </w:r>
          </w:p>
        </w:tc>
        <w:tc>
          <w:tcPr>
            <w:tcW w:w="997"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16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24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17"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1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98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94"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2040499</w:t>
            </w:r>
          </w:p>
        </w:tc>
        <w:tc>
          <w:tcPr>
            <w:tcW w:w="1838"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其他检察支出</w:t>
            </w:r>
          </w:p>
        </w:tc>
        <w:tc>
          <w:tcPr>
            <w:tcW w:w="141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403.00</w:t>
            </w:r>
          </w:p>
        </w:tc>
        <w:tc>
          <w:tcPr>
            <w:tcW w:w="141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403.00</w:t>
            </w:r>
          </w:p>
        </w:tc>
        <w:tc>
          <w:tcPr>
            <w:tcW w:w="997"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16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24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17"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1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98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94"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208</w:t>
            </w:r>
          </w:p>
        </w:tc>
        <w:tc>
          <w:tcPr>
            <w:tcW w:w="1838"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社会保障和就业支出</w:t>
            </w:r>
          </w:p>
        </w:tc>
        <w:tc>
          <w:tcPr>
            <w:tcW w:w="141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251.01</w:t>
            </w:r>
          </w:p>
        </w:tc>
        <w:tc>
          <w:tcPr>
            <w:tcW w:w="141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251.01</w:t>
            </w:r>
          </w:p>
        </w:tc>
        <w:tc>
          <w:tcPr>
            <w:tcW w:w="997"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16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24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17"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1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98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94"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20805</w:t>
            </w:r>
          </w:p>
        </w:tc>
        <w:tc>
          <w:tcPr>
            <w:tcW w:w="1838"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行政事业单位养老支出</w:t>
            </w:r>
          </w:p>
        </w:tc>
        <w:tc>
          <w:tcPr>
            <w:tcW w:w="141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251.01</w:t>
            </w:r>
          </w:p>
        </w:tc>
        <w:tc>
          <w:tcPr>
            <w:tcW w:w="141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251.01</w:t>
            </w:r>
          </w:p>
        </w:tc>
        <w:tc>
          <w:tcPr>
            <w:tcW w:w="997"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16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24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17"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1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98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94"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2080505</w:t>
            </w:r>
          </w:p>
        </w:tc>
        <w:tc>
          <w:tcPr>
            <w:tcW w:w="1838"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机关事业单位基本养老保险缴费支出</w:t>
            </w:r>
          </w:p>
        </w:tc>
        <w:tc>
          <w:tcPr>
            <w:tcW w:w="141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168.27</w:t>
            </w:r>
          </w:p>
        </w:tc>
        <w:tc>
          <w:tcPr>
            <w:tcW w:w="141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168.27</w:t>
            </w:r>
          </w:p>
        </w:tc>
        <w:tc>
          <w:tcPr>
            <w:tcW w:w="997"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16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24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17"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1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98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94" w:type="dxa"/>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208050</w:t>
            </w:r>
            <w:r>
              <w:rPr>
                <w:rFonts w:hint="eastAsia" w:cs="宋体"/>
                <w:i w:val="0"/>
                <w:color w:val="000000"/>
                <w:kern w:val="0"/>
                <w:sz w:val="20"/>
                <w:szCs w:val="20"/>
                <w:highlight w:val="none"/>
                <w:u w:val="none"/>
                <w:lang w:val="en-US" w:eastAsia="zh-CN" w:bidi="ar"/>
              </w:rPr>
              <w:t>6</w:t>
            </w:r>
          </w:p>
        </w:tc>
        <w:tc>
          <w:tcPr>
            <w:tcW w:w="1838"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机关事业单位基本</w:t>
            </w:r>
            <w:r>
              <w:rPr>
                <w:rFonts w:hint="eastAsia" w:cs="宋体"/>
                <w:i w:val="0"/>
                <w:color w:val="000000"/>
                <w:kern w:val="0"/>
                <w:sz w:val="20"/>
                <w:szCs w:val="20"/>
                <w:highlight w:val="none"/>
                <w:u w:val="none"/>
                <w:lang w:val="en-US" w:eastAsia="zh-CN" w:bidi="ar"/>
              </w:rPr>
              <w:t>职业年金</w:t>
            </w:r>
            <w:r>
              <w:rPr>
                <w:rFonts w:hint="eastAsia" w:ascii="宋体" w:hAnsi="宋体" w:eastAsia="宋体" w:cs="宋体"/>
                <w:i w:val="0"/>
                <w:color w:val="000000"/>
                <w:kern w:val="0"/>
                <w:sz w:val="20"/>
                <w:szCs w:val="20"/>
                <w:highlight w:val="none"/>
                <w:u w:val="none"/>
                <w:lang w:val="en-US" w:eastAsia="zh-CN" w:bidi="ar"/>
              </w:rPr>
              <w:t>缴费支出</w:t>
            </w:r>
          </w:p>
        </w:tc>
        <w:tc>
          <w:tcPr>
            <w:tcW w:w="141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p>
          <w:p>
            <w:pPr>
              <w:keepNext w:val="0"/>
              <w:keepLines w:val="0"/>
              <w:widowControl/>
              <w:suppressLineNumbers w:val="0"/>
              <w:jc w:val="right"/>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82.74</w:t>
            </w:r>
          </w:p>
        </w:tc>
        <w:tc>
          <w:tcPr>
            <w:tcW w:w="1415" w:type="dxa"/>
            <w:vAlign w:val="center"/>
          </w:tcPr>
          <w:p>
            <w:pPr>
              <w:keepNext w:val="0"/>
              <w:keepLines w:val="0"/>
              <w:widowControl/>
              <w:suppressLineNumbers w:val="0"/>
              <w:jc w:val="right"/>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82.74</w:t>
            </w:r>
          </w:p>
        </w:tc>
        <w:tc>
          <w:tcPr>
            <w:tcW w:w="997"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16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24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417"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41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983"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94"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221</w:t>
            </w:r>
          </w:p>
        </w:tc>
        <w:tc>
          <w:tcPr>
            <w:tcW w:w="1838"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住房保障支出</w:t>
            </w:r>
          </w:p>
        </w:tc>
        <w:tc>
          <w:tcPr>
            <w:tcW w:w="141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906.69</w:t>
            </w:r>
          </w:p>
        </w:tc>
        <w:tc>
          <w:tcPr>
            <w:tcW w:w="141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906.69</w:t>
            </w:r>
          </w:p>
        </w:tc>
        <w:tc>
          <w:tcPr>
            <w:tcW w:w="997"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16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24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417"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41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983"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94"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22102</w:t>
            </w:r>
          </w:p>
        </w:tc>
        <w:tc>
          <w:tcPr>
            <w:tcW w:w="1838"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住房改革支出</w:t>
            </w:r>
          </w:p>
        </w:tc>
        <w:tc>
          <w:tcPr>
            <w:tcW w:w="141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906.69</w:t>
            </w:r>
          </w:p>
        </w:tc>
        <w:tc>
          <w:tcPr>
            <w:tcW w:w="141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906.69</w:t>
            </w:r>
          </w:p>
        </w:tc>
        <w:tc>
          <w:tcPr>
            <w:tcW w:w="997"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16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24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417"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41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983"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94"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2210201</w:t>
            </w:r>
          </w:p>
        </w:tc>
        <w:tc>
          <w:tcPr>
            <w:tcW w:w="1838"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住房公积金</w:t>
            </w:r>
          </w:p>
        </w:tc>
        <w:tc>
          <w:tcPr>
            <w:tcW w:w="141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303.78</w:t>
            </w:r>
          </w:p>
        </w:tc>
        <w:tc>
          <w:tcPr>
            <w:tcW w:w="141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303.78</w:t>
            </w:r>
          </w:p>
        </w:tc>
        <w:tc>
          <w:tcPr>
            <w:tcW w:w="997"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16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24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417"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41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983"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94"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2210202</w:t>
            </w:r>
          </w:p>
        </w:tc>
        <w:tc>
          <w:tcPr>
            <w:tcW w:w="1838"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提租补贴</w:t>
            </w:r>
          </w:p>
        </w:tc>
        <w:tc>
          <w:tcPr>
            <w:tcW w:w="141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602.91</w:t>
            </w:r>
          </w:p>
        </w:tc>
        <w:tc>
          <w:tcPr>
            <w:tcW w:w="141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602.91</w:t>
            </w:r>
          </w:p>
        </w:tc>
        <w:tc>
          <w:tcPr>
            <w:tcW w:w="997"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16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24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417"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41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983"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bl>
    <w:p>
      <w:pPr>
        <w:spacing w:before="66"/>
        <w:ind w:left="261"/>
        <w:rPr>
          <w:sz w:val="20"/>
          <w:szCs w:val="20"/>
          <w:highlight w:val="none"/>
        </w:rPr>
      </w:pPr>
      <w:r>
        <w:rPr>
          <w:sz w:val="20"/>
          <w:szCs w:val="20"/>
          <w:highlight w:val="none"/>
        </w:rPr>
        <w:t>注：</w:t>
      </w:r>
      <w:r>
        <w:rPr>
          <w:rFonts w:ascii="Times New Roman" w:hAnsi="Times New Roman" w:eastAsia="Times New Roman"/>
          <w:sz w:val="20"/>
          <w:szCs w:val="20"/>
          <w:highlight w:val="none"/>
        </w:rPr>
        <w:t>“</w:t>
      </w:r>
      <w:r>
        <w:rPr>
          <w:sz w:val="20"/>
          <w:szCs w:val="20"/>
          <w:highlight w:val="none"/>
        </w:rPr>
        <w:t>科目编码</w:t>
      </w:r>
      <w:r>
        <w:rPr>
          <w:rFonts w:ascii="Times New Roman" w:hAnsi="Times New Roman" w:eastAsia="Times New Roman"/>
          <w:sz w:val="20"/>
          <w:szCs w:val="20"/>
          <w:highlight w:val="none"/>
        </w:rPr>
        <w:t>”</w:t>
      </w:r>
      <w:r>
        <w:rPr>
          <w:sz w:val="20"/>
          <w:szCs w:val="20"/>
          <w:highlight w:val="none"/>
        </w:rPr>
        <w:t>和</w:t>
      </w:r>
      <w:r>
        <w:rPr>
          <w:rFonts w:ascii="Times New Roman" w:hAnsi="Times New Roman" w:eastAsia="Times New Roman"/>
          <w:sz w:val="20"/>
          <w:szCs w:val="20"/>
          <w:highlight w:val="none"/>
        </w:rPr>
        <w:t>“</w:t>
      </w:r>
      <w:r>
        <w:rPr>
          <w:sz w:val="20"/>
          <w:szCs w:val="20"/>
          <w:highlight w:val="none"/>
        </w:rPr>
        <w:t>科目名称</w:t>
      </w:r>
      <w:r>
        <w:rPr>
          <w:rFonts w:ascii="Times New Roman" w:hAnsi="Times New Roman" w:eastAsia="Times New Roman"/>
          <w:sz w:val="20"/>
          <w:szCs w:val="20"/>
          <w:highlight w:val="none"/>
        </w:rPr>
        <w:t>”</w:t>
      </w:r>
      <w:r>
        <w:rPr>
          <w:sz w:val="20"/>
          <w:szCs w:val="20"/>
          <w:highlight w:val="none"/>
        </w:rPr>
        <w:t>均为必填项</w:t>
      </w:r>
    </w:p>
    <w:p>
      <w:pPr>
        <w:rPr>
          <w:sz w:val="20"/>
          <w:highlight w:val="none"/>
        </w:rPr>
        <w:sectPr>
          <w:pgSz w:w="16840" w:h="11910" w:orient="landscape"/>
          <w:pgMar w:top="1100" w:right="1320" w:bottom="280" w:left="1320" w:header="720" w:footer="720" w:gutter="0"/>
          <w:cols w:space="720" w:num="1"/>
        </w:sectPr>
      </w:pPr>
    </w:p>
    <w:p>
      <w:pPr>
        <w:pStyle w:val="2"/>
        <w:rPr>
          <w:sz w:val="20"/>
          <w:highlight w:val="none"/>
        </w:rPr>
      </w:pPr>
    </w:p>
    <w:p>
      <w:pPr>
        <w:pStyle w:val="12"/>
        <w:spacing w:before="224"/>
        <w:ind w:firstLine="6120" w:firstLineChars="1700"/>
        <w:jc w:val="both"/>
        <w:rPr>
          <w:highlight w:val="none"/>
        </w:rPr>
      </w:pPr>
      <w:r>
        <w:rPr>
          <w:highlight w:val="none"/>
        </w:rPr>
        <w:t>支出决算表</w:t>
      </w:r>
    </w:p>
    <w:p>
      <w:pPr>
        <w:pStyle w:val="2"/>
        <w:spacing w:before="11"/>
        <w:rPr>
          <w:sz w:val="47"/>
          <w:highlight w:val="none"/>
        </w:rPr>
      </w:pPr>
    </w:p>
    <w:p>
      <w:pPr>
        <w:ind w:right="1839"/>
        <w:jc w:val="right"/>
        <w:rPr>
          <w:sz w:val="20"/>
          <w:highlight w:val="none"/>
        </w:rPr>
      </w:pPr>
      <w:r>
        <w:rPr>
          <w:spacing w:val="-17"/>
          <w:sz w:val="20"/>
          <w:highlight w:val="none"/>
        </w:rPr>
        <w:t xml:space="preserve">公开 </w:t>
      </w:r>
      <w:r>
        <w:rPr>
          <w:rFonts w:ascii="Times New Roman" w:eastAsia="Times New Roman"/>
          <w:sz w:val="20"/>
          <w:highlight w:val="none"/>
        </w:rPr>
        <w:t xml:space="preserve">03 </w:t>
      </w:r>
      <w:r>
        <w:rPr>
          <w:sz w:val="20"/>
          <w:highlight w:val="none"/>
        </w:rPr>
        <w:t>表</w:t>
      </w:r>
    </w:p>
    <w:p>
      <w:pPr>
        <w:tabs>
          <w:tab w:val="left" w:pos="9113"/>
        </w:tabs>
        <w:spacing w:before="61" w:after="30"/>
        <w:ind w:right="1842" w:firstLine="600" w:firstLineChars="300"/>
        <w:jc w:val="both"/>
        <w:rPr>
          <w:sz w:val="20"/>
          <w:highlight w:val="none"/>
        </w:rPr>
      </w:pPr>
      <w:r>
        <w:rPr>
          <w:sz w:val="20"/>
          <w:highlight w:val="none"/>
        </w:rPr>
        <w:t>部门名称：</w:t>
      </w:r>
      <w:r>
        <w:rPr>
          <w:rFonts w:hint="eastAsia" w:ascii="Times New Roman"/>
          <w:sz w:val="20"/>
          <w:highlight w:val="none"/>
          <w:lang w:eastAsia="zh-CN"/>
        </w:rPr>
        <w:t>连云港市海州区人民检察院</w:t>
      </w:r>
      <w:r>
        <w:rPr>
          <w:rFonts w:ascii="Times New Roman" w:eastAsia="Times New Roman"/>
          <w:sz w:val="20"/>
          <w:highlight w:val="none"/>
        </w:rPr>
        <w:tab/>
      </w:r>
      <w:r>
        <w:rPr>
          <w:rFonts w:hint="eastAsia" w:ascii="Times New Roman"/>
          <w:sz w:val="20"/>
          <w:highlight w:val="none"/>
          <w:lang w:val="en-US" w:eastAsia="zh-CN"/>
        </w:rPr>
        <w:t xml:space="preserve">                                      </w:t>
      </w:r>
      <w:r>
        <w:rPr>
          <w:w w:val="95"/>
          <w:sz w:val="20"/>
          <w:highlight w:val="none"/>
        </w:rPr>
        <w:t>金额单位：万元</w:t>
      </w:r>
    </w:p>
    <w:tbl>
      <w:tblPr>
        <w:tblStyle w:val="8"/>
        <w:tblW w:w="0" w:type="auto"/>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5"/>
        <w:gridCol w:w="2415"/>
        <w:gridCol w:w="1410"/>
        <w:gridCol w:w="1035"/>
        <w:gridCol w:w="1350"/>
        <w:gridCol w:w="1380"/>
        <w:gridCol w:w="1140"/>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4290" w:type="dxa"/>
            <w:gridSpan w:val="2"/>
          </w:tcPr>
          <w:p>
            <w:pPr>
              <w:pStyle w:val="16"/>
              <w:spacing w:before="30"/>
              <w:ind w:left="1193" w:right="1190"/>
              <w:jc w:val="center"/>
              <w:rPr>
                <w:sz w:val="20"/>
                <w:szCs w:val="20"/>
                <w:highlight w:val="none"/>
              </w:rPr>
            </w:pPr>
            <w:r>
              <w:rPr>
                <w:sz w:val="20"/>
                <w:szCs w:val="20"/>
                <w:highlight w:val="none"/>
              </w:rPr>
              <w:t>项目</w:t>
            </w:r>
          </w:p>
        </w:tc>
        <w:tc>
          <w:tcPr>
            <w:tcW w:w="1410" w:type="dxa"/>
            <w:vMerge w:val="restart"/>
          </w:tcPr>
          <w:p>
            <w:pPr>
              <w:pStyle w:val="16"/>
              <w:spacing w:before="10"/>
              <w:rPr>
                <w:sz w:val="20"/>
                <w:szCs w:val="20"/>
                <w:highlight w:val="none"/>
              </w:rPr>
            </w:pPr>
          </w:p>
          <w:p>
            <w:pPr>
              <w:pStyle w:val="16"/>
              <w:spacing w:before="0"/>
              <w:ind w:left="107"/>
              <w:rPr>
                <w:sz w:val="20"/>
                <w:szCs w:val="20"/>
                <w:highlight w:val="none"/>
              </w:rPr>
            </w:pPr>
            <w:r>
              <w:rPr>
                <w:sz w:val="20"/>
                <w:szCs w:val="20"/>
                <w:highlight w:val="none"/>
              </w:rPr>
              <w:t>本年支出合计</w:t>
            </w:r>
          </w:p>
        </w:tc>
        <w:tc>
          <w:tcPr>
            <w:tcW w:w="1035" w:type="dxa"/>
            <w:vMerge w:val="restart"/>
          </w:tcPr>
          <w:p>
            <w:pPr>
              <w:pStyle w:val="16"/>
              <w:spacing w:before="10"/>
              <w:rPr>
                <w:sz w:val="20"/>
                <w:szCs w:val="20"/>
                <w:highlight w:val="none"/>
              </w:rPr>
            </w:pPr>
          </w:p>
          <w:p>
            <w:pPr>
              <w:pStyle w:val="16"/>
              <w:spacing w:before="0"/>
              <w:ind w:left="107"/>
              <w:rPr>
                <w:sz w:val="20"/>
                <w:szCs w:val="20"/>
                <w:highlight w:val="none"/>
              </w:rPr>
            </w:pPr>
            <w:r>
              <w:rPr>
                <w:sz w:val="20"/>
                <w:szCs w:val="20"/>
                <w:highlight w:val="none"/>
              </w:rPr>
              <w:t>基本支出</w:t>
            </w:r>
          </w:p>
        </w:tc>
        <w:tc>
          <w:tcPr>
            <w:tcW w:w="1350" w:type="dxa"/>
            <w:vMerge w:val="restart"/>
          </w:tcPr>
          <w:p>
            <w:pPr>
              <w:pStyle w:val="16"/>
              <w:spacing w:before="10"/>
              <w:rPr>
                <w:sz w:val="20"/>
                <w:szCs w:val="20"/>
                <w:highlight w:val="none"/>
              </w:rPr>
            </w:pPr>
          </w:p>
          <w:p>
            <w:pPr>
              <w:pStyle w:val="16"/>
              <w:spacing w:before="0"/>
              <w:ind w:left="107"/>
              <w:rPr>
                <w:sz w:val="20"/>
                <w:szCs w:val="20"/>
                <w:highlight w:val="none"/>
              </w:rPr>
            </w:pPr>
            <w:r>
              <w:rPr>
                <w:sz w:val="20"/>
                <w:szCs w:val="20"/>
                <w:highlight w:val="none"/>
              </w:rPr>
              <w:t>项目支出</w:t>
            </w:r>
          </w:p>
        </w:tc>
        <w:tc>
          <w:tcPr>
            <w:tcW w:w="1380" w:type="dxa"/>
            <w:vMerge w:val="restart"/>
          </w:tcPr>
          <w:p>
            <w:pPr>
              <w:pStyle w:val="16"/>
              <w:spacing w:before="10"/>
              <w:rPr>
                <w:sz w:val="20"/>
                <w:szCs w:val="20"/>
                <w:highlight w:val="none"/>
              </w:rPr>
            </w:pPr>
          </w:p>
          <w:p>
            <w:pPr>
              <w:pStyle w:val="16"/>
              <w:spacing w:before="0"/>
              <w:ind w:left="108"/>
              <w:rPr>
                <w:sz w:val="20"/>
                <w:szCs w:val="20"/>
                <w:highlight w:val="none"/>
              </w:rPr>
            </w:pPr>
            <w:r>
              <w:rPr>
                <w:sz w:val="20"/>
                <w:szCs w:val="20"/>
                <w:highlight w:val="none"/>
              </w:rPr>
              <w:t>上缴上级支出</w:t>
            </w:r>
          </w:p>
        </w:tc>
        <w:tc>
          <w:tcPr>
            <w:tcW w:w="1140" w:type="dxa"/>
            <w:vMerge w:val="restart"/>
          </w:tcPr>
          <w:p>
            <w:pPr>
              <w:pStyle w:val="16"/>
              <w:spacing w:before="10"/>
              <w:rPr>
                <w:sz w:val="20"/>
                <w:szCs w:val="20"/>
                <w:highlight w:val="none"/>
              </w:rPr>
            </w:pPr>
          </w:p>
          <w:p>
            <w:pPr>
              <w:pStyle w:val="16"/>
              <w:spacing w:before="0"/>
              <w:ind w:left="108"/>
              <w:rPr>
                <w:sz w:val="20"/>
                <w:szCs w:val="20"/>
                <w:highlight w:val="none"/>
              </w:rPr>
            </w:pPr>
            <w:r>
              <w:rPr>
                <w:sz w:val="20"/>
                <w:szCs w:val="20"/>
                <w:highlight w:val="none"/>
              </w:rPr>
              <w:t>经营支出</w:t>
            </w:r>
          </w:p>
        </w:tc>
        <w:tc>
          <w:tcPr>
            <w:tcW w:w="1423" w:type="dxa"/>
            <w:vMerge w:val="restart"/>
          </w:tcPr>
          <w:p>
            <w:pPr>
              <w:pStyle w:val="16"/>
              <w:spacing w:before="10"/>
              <w:rPr>
                <w:sz w:val="20"/>
                <w:szCs w:val="20"/>
                <w:highlight w:val="none"/>
              </w:rPr>
            </w:pPr>
          </w:p>
          <w:p>
            <w:pPr>
              <w:pStyle w:val="16"/>
              <w:spacing w:before="0"/>
              <w:ind w:left="108"/>
              <w:rPr>
                <w:sz w:val="20"/>
                <w:szCs w:val="20"/>
                <w:highlight w:val="none"/>
              </w:rPr>
            </w:pPr>
            <w:r>
              <w:rPr>
                <w:sz w:val="20"/>
                <w:szCs w:val="20"/>
                <w:highlight w:val="none"/>
              </w:rPr>
              <w:t>对附属单位补助支出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875" w:type="dxa"/>
          </w:tcPr>
          <w:p>
            <w:pPr>
              <w:pStyle w:val="16"/>
              <w:spacing w:before="9"/>
              <w:rPr>
                <w:sz w:val="20"/>
                <w:szCs w:val="20"/>
                <w:highlight w:val="none"/>
              </w:rPr>
            </w:pPr>
          </w:p>
          <w:p>
            <w:pPr>
              <w:pStyle w:val="16"/>
              <w:spacing w:before="0"/>
              <w:ind w:left="107"/>
              <w:rPr>
                <w:sz w:val="20"/>
                <w:szCs w:val="20"/>
                <w:highlight w:val="none"/>
              </w:rPr>
            </w:pPr>
            <w:r>
              <w:rPr>
                <w:sz w:val="20"/>
                <w:szCs w:val="20"/>
                <w:highlight w:val="none"/>
              </w:rPr>
              <w:t>功能分类科目编码</w:t>
            </w:r>
          </w:p>
        </w:tc>
        <w:tc>
          <w:tcPr>
            <w:tcW w:w="2415" w:type="dxa"/>
          </w:tcPr>
          <w:p>
            <w:pPr>
              <w:pStyle w:val="16"/>
              <w:spacing w:before="9"/>
              <w:rPr>
                <w:sz w:val="20"/>
                <w:szCs w:val="20"/>
                <w:highlight w:val="none"/>
              </w:rPr>
            </w:pPr>
          </w:p>
          <w:p>
            <w:pPr>
              <w:pStyle w:val="16"/>
              <w:spacing w:before="0"/>
              <w:ind w:left="107"/>
              <w:rPr>
                <w:sz w:val="20"/>
                <w:szCs w:val="20"/>
                <w:highlight w:val="none"/>
              </w:rPr>
            </w:pPr>
            <w:r>
              <w:rPr>
                <w:sz w:val="20"/>
                <w:szCs w:val="20"/>
                <w:highlight w:val="none"/>
              </w:rPr>
              <w:t>科目名称</w:t>
            </w:r>
          </w:p>
        </w:tc>
        <w:tc>
          <w:tcPr>
            <w:tcW w:w="1410" w:type="dxa"/>
            <w:vMerge w:val="continue"/>
            <w:tcBorders>
              <w:top w:val="nil"/>
            </w:tcBorders>
          </w:tcPr>
          <w:p>
            <w:pPr>
              <w:rPr>
                <w:sz w:val="20"/>
                <w:szCs w:val="20"/>
                <w:highlight w:val="none"/>
              </w:rPr>
            </w:pPr>
          </w:p>
        </w:tc>
        <w:tc>
          <w:tcPr>
            <w:tcW w:w="1035" w:type="dxa"/>
            <w:vMerge w:val="continue"/>
            <w:tcBorders>
              <w:top w:val="nil"/>
            </w:tcBorders>
          </w:tcPr>
          <w:p>
            <w:pPr>
              <w:rPr>
                <w:sz w:val="20"/>
                <w:szCs w:val="20"/>
                <w:highlight w:val="none"/>
              </w:rPr>
            </w:pPr>
          </w:p>
        </w:tc>
        <w:tc>
          <w:tcPr>
            <w:tcW w:w="1350" w:type="dxa"/>
            <w:vMerge w:val="continue"/>
            <w:tcBorders>
              <w:top w:val="nil"/>
            </w:tcBorders>
          </w:tcPr>
          <w:p>
            <w:pPr>
              <w:rPr>
                <w:sz w:val="20"/>
                <w:szCs w:val="20"/>
                <w:highlight w:val="none"/>
              </w:rPr>
            </w:pPr>
          </w:p>
        </w:tc>
        <w:tc>
          <w:tcPr>
            <w:tcW w:w="1380" w:type="dxa"/>
            <w:vMerge w:val="continue"/>
            <w:tcBorders>
              <w:top w:val="nil"/>
            </w:tcBorders>
          </w:tcPr>
          <w:p>
            <w:pPr>
              <w:rPr>
                <w:sz w:val="20"/>
                <w:szCs w:val="20"/>
                <w:highlight w:val="none"/>
              </w:rPr>
            </w:pPr>
          </w:p>
        </w:tc>
        <w:tc>
          <w:tcPr>
            <w:tcW w:w="1140" w:type="dxa"/>
            <w:vMerge w:val="continue"/>
            <w:tcBorders>
              <w:top w:val="nil"/>
            </w:tcBorders>
          </w:tcPr>
          <w:p>
            <w:pPr>
              <w:rPr>
                <w:sz w:val="20"/>
                <w:szCs w:val="20"/>
                <w:highlight w:val="none"/>
              </w:rPr>
            </w:pPr>
          </w:p>
        </w:tc>
        <w:tc>
          <w:tcPr>
            <w:tcW w:w="1423" w:type="dxa"/>
            <w:vMerge w:val="continue"/>
            <w:tcBorders>
              <w:top w:val="nil"/>
            </w:tcBorders>
          </w:tcPr>
          <w:p>
            <w:pPr>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875" w:type="dxa"/>
          </w:tcPr>
          <w:p>
            <w:pPr>
              <w:pStyle w:val="16"/>
              <w:spacing w:before="30"/>
              <w:ind w:left="107"/>
              <w:rPr>
                <w:sz w:val="20"/>
                <w:szCs w:val="20"/>
                <w:highlight w:val="none"/>
              </w:rPr>
            </w:pPr>
            <w:r>
              <w:rPr>
                <w:w w:val="99"/>
                <w:sz w:val="20"/>
                <w:szCs w:val="20"/>
                <w:highlight w:val="none"/>
              </w:rPr>
              <w:t xml:space="preserve"> </w:t>
            </w:r>
          </w:p>
        </w:tc>
        <w:tc>
          <w:tcPr>
            <w:tcW w:w="2415" w:type="dxa"/>
          </w:tcPr>
          <w:p>
            <w:pPr>
              <w:pStyle w:val="16"/>
              <w:spacing w:before="30"/>
              <w:ind w:left="306"/>
              <w:rPr>
                <w:sz w:val="20"/>
                <w:szCs w:val="20"/>
                <w:highlight w:val="none"/>
              </w:rPr>
            </w:pPr>
            <w:r>
              <w:rPr>
                <w:sz w:val="20"/>
                <w:szCs w:val="20"/>
                <w:highlight w:val="none"/>
              </w:rPr>
              <w:t>合计</w:t>
            </w:r>
          </w:p>
        </w:tc>
        <w:tc>
          <w:tcPr>
            <w:tcW w:w="141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4,530.02</w:t>
            </w:r>
          </w:p>
        </w:tc>
        <w:tc>
          <w:tcPr>
            <w:tcW w:w="103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4,530.02</w:t>
            </w:r>
          </w:p>
        </w:tc>
        <w:tc>
          <w:tcPr>
            <w:tcW w:w="135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38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14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2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875"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204</w:t>
            </w:r>
          </w:p>
        </w:tc>
        <w:tc>
          <w:tcPr>
            <w:tcW w:w="2415"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公共安全支出</w:t>
            </w:r>
          </w:p>
        </w:tc>
        <w:tc>
          <w:tcPr>
            <w:tcW w:w="141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3,322.32</w:t>
            </w:r>
          </w:p>
        </w:tc>
        <w:tc>
          <w:tcPr>
            <w:tcW w:w="103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3,322.32</w:t>
            </w:r>
          </w:p>
        </w:tc>
        <w:tc>
          <w:tcPr>
            <w:tcW w:w="135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38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14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2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75" w:type="dxa"/>
            <w:tcBorders>
              <w:bottom w:val="single" w:color="000000" w:sz="6" w:space="0"/>
            </w:tcBorders>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20404</w:t>
            </w:r>
          </w:p>
        </w:tc>
        <w:tc>
          <w:tcPr>
            <w:tcW w:w="2415" w:type="dxa"/>
            <w:tcBorders>
              <w:bottom w:val="single" w:color="000000" w:sz="6" w:space="0"/>
            </w:tcBorders>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检察</w:t>
            </w:r>
          </w:p>
        </w:tc>
        <w:tc>
          <w:tcPr>
            <w:tcW w:w="1410" w:type="dxa"/>
            <w:tcBorders>
              <w:bottom w:val="single" w:color="000000" w:sz="6" w:space="0"/>
            </w:tcBorders>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3,322.32</w:t>
            </w:r>
          </w:p>
        </w:tc>
        <w:tc>
          <w:tcPr>
            <w:tcW w:w="1035" w:type="dxa"/>
            <w:tcBorders>
              <w:bottom w:val="single" w:color="000000" w:sz="6" w:space="0"/>
            </w:tcBorders>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3,322.32</w:t>
            </w:r>
          </w:p>
        </w:tc>
        <w:tc>
          <w:tcPr>
            <w:tcW w:w="1350" w:type="dxa"/>
            <w:tcBorders>
              <w:bottom w:val="single" w:color="000000" w:sz="6" w:space="0"/>
            </w:tcBorders>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380" w:type="dxa"/>
            <w:tcBorders>
              <w:bottom w:val="single" w:color="000000" w:sz="6" w:space="0"/>
            </w:tcBorders>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140" w:type="dxa"/>
            <w:tcBorders>
              <w:bottom w:val="single" w:color="000000" w:sz="6" w:space="0"/>
            </w:tcBorders>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23" w:type="dxa"/>
            <w:tcBorders>
              <w:bottom w:val="single" w:color="000000" w:sz="6" w:space="0"/>
            </w:tcBorders>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875" w:type="dxa"/>
            <w:tcBorders>
              <w:top w:val="single" w:color="000000" w:sz="6" w:space="0"/>
            </w:tcBorders>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2040401</w:t>
            </w:r>
          </w:p>
        </w:tc>
        <w:tc>
          <w:tcPr>
            <w:tcW w:w="2415" w:type="dxa"/>
            <w:tcBorders>
              <w:top w:val="single" w:color="000000" w:sz="6" w:space="0"/>
            </w:tcBorders>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行政运行</w:t>
            </w:r>
          </w:p>
        </w:tc>
        <w:tc>
          <w:tcPr>
            <w:tcW w:w="1410" w:type="dxa"/>
            <w:tcBorders>
              <w:top w:val="single" w:color="000000" w:sz="6" w:space="0"/>
            </w:tcBorders>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2,920.73</w:t>
            </w:r>
          </w:p>
        </w:tc>
        <w:tc>
          <w:tcPr>
            <w:tcW w:w="1035" w:type="dxa"/>
            <w:tcBorders>
              <w:top w:val="single" w:color="000000" w:sz="6" w:space="0"/>
            </w:tcBorders>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2,920.73</w:t>
            </w:r>
          </w:p>
        </w:tc>
        <w:tc>
          <w:tcPr>
            <w:tcW w:w="1350" w:type="dxa"/>
            <w:tcBorders>
              <w:top w:val="single" w:color="000000" w:sz="6" w:space="0"/>
            </w:tcBorders>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380" w:type="dxa"/>
            <w:tcBorders>
              <w:top w:val="single" w:color="000000" w:sz="6" w:space="0"/>
            </w:tcBorders>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140" w:type="dxa"/>
            <w:tcBorders>
              <w:top w:val="single" w:color="000000" w:sz="6" w:space="0"/>
            </w:tcBorders>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23" w:type="dxa"/>
            <w:tcBorders>
              <w:top w:val="single" w:color="000000" w:sz="6" w:space="0"/>
            </w:tcBorders>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875"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2040499</w:t>
            </w:r>
          </w:p>
        </w:tc>
        <w:tc>
          <w:tcPr>
            <w:tcW w:w="2415"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其他检察支出</w:t>
            </w:r>
          </w:p>
        </w:tc>
        <w:tc>
          <w:tcPr>
            <w:tcW w:w="141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401.59</w:t>
            </w:r>
          </w:p>
        </w:tc>
        <w:tc>
          <w:tcPr>
            <w:tcW w:w="103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401.59</w:t>
            </w:r>
          </w:p>
        </w:tc>
        <w:tc>
          <w:tcPr>
            <w:tcW w:w="135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38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14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2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875"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208</w:t>
            </w:r>
          </w:p>
        </w:tc>
        <w:tc>
          <w:tcPr>
            <w:tcW w:w="2415"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社会保障和就业支出</w:t>
            </w:r>
          </w:p>
        </w:tc>
        <w:tc>
          <w:tcPr>
            <w:tcW w:w="141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251.01</w:t>
            </w:r>
          </w:p>
        </w:tc>
        <w:tc>
          <w:tcPr>
            <w:tcW w:w="103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251.01</w:t>
            </w:r>
          </w:p>
        </w:tc>
        <w:tc>
          <w:tcPr>
            <w:tcW w:w="135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38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14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2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875"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20805</w:t>
            </w:r>
          </w:p>
        </w:tc>
        <w:tc>
          <w:tcPr>
            <w:tcW w:w="2415"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行政事业单位养老支出</w:t>
            </w:r>
          </w:p>
        </w:tc>
        <w:tc>
          <w:tcPr>
            <w:tcW w:w="141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251.01</w:t>
            </w:r>
          </w:p>
        </w:tc>
        <w:tc>
          <w:tcPr>
            <w:tcW w:w="103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251.01</w:t>
            </w:r>
          </w:p>
        </w:tc>
        <w:tc>
          <w:tcPr>
            <w:tcW w:w="135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38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14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2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875"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2080505</w:t>
            </w:r>
          </w:p>
        </w:tc>
        <w:tc>
          <w:tcPr>
            <w:tcW w:w="2415"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机关事业单位基本养老保险缴费支出</w:t>
            </w:r>
          </w:p>
        </w:tc>
        <w:tc>
          <w:tcPr>
            <w:tcW w:w="141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168.27</w:t>
            </w:r>
          </w:p>
        </w:tc>
        <w:tc>
          <w:tcPr>
            <w:tcW w:w="103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168.27</w:t>
            </w:r>
          </w:p>
        </w:tc>
        <w:tc>
          <w:tcPr>
            <w:tcW w:w="135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38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14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2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87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2080506</w:t>
            </w:r>
          </w:p>
        </w:tc>
        <w:tc>
          <w:tcPr>
            <w:tcW w:w="241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机关事业单位职业年金缴费支出</w:t>
            </w:r>
          </w:p>
        </w:tc>
        <w:tc>
          <w:tcPr>
            <w:tcW w:w="1410"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82.74</w:t>
            </w:r>
          </w:p>
        </w:tc>
        <w:tc>
          <w:tcPr>
            <w:tcW w:w="103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82.74</w:t>
            </w:r>
          </w:p>
        </w:tc>
        <w:tc>
          <w:tcPr>
            <w:tcW w:w="1350"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380"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140"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23"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87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211</w:t>
            </w:r>
          </w:p>
        </w:tc>
        <w:tc>
          <w:tcPr>
            <w:tcW w:w="241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节能环保支出</w:t>
            </w:r>
          </w:p>
        </w:tc>
        <w:tc>
          <w:tcPr>
            <w:tcW w:w="1410"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103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1350"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380"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140"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23"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87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21103</w:t>
            </w:r>
          </w:p>
        </w:tc>
        <w:tc>
          <w:tcPr>
            <w:tcW w:w="241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污染防治</w:t>
            </w:r>
          </w:p>
        </w:tc>
        <w:tc>
          <w:tcPr>
            <w:tcW w:w="1410"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103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1350"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380"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140"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23"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87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2110399</w:t>
            </w:r>
          </w:p>
        </w:tc>
        <w:tc>
          <w:tcPr>
            <w:tcW w:w="241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其他污染防治支出</w:t>
            </w:r>
          </w:p>
        </w:tc>
        <w:tc>
          <w:tcPr>
            <w:tcW w:w="1410"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103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1350"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380"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140"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423"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87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221</w:t>
            </w:r>
          </w:p>
        </w:tc>
        <w:tc>
          <w:tcPr>
            <w:tcW w:w="241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住房保障支出</w:t>
            </w:r>
          </w:p>
        </w:tc>
        <w:tc>
          <w:tcPr>
            <w:tcW w:w="141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906.69</w:t>
            </w:r>
          </w:p>
        </w:tc>
        <w:tc>
          <w:tcPr>
            <w:tcW w:w="103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906.69</w:t>
            </w:r>
          </w:p>
        </w:tc>
        <w:tc>
          <w:tcPr>
            <w:tcW w:w="135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38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14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423"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87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22102</w:t>
            </w:r>
          </w:p>
        </w:tc>
        <w:tc>
          <w:tcPr>
            <w:tcW w:w="241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住房改革支出</w:t>
            </w:r>
          </w:p>
        </w:tc>
        <w:tc>
          <w:tcPr>
            <w:tcW w:w="141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906.69</w:t>
            </w:r>
          </w:p>
        </w:tc>
        <w:tc>
          <w:tcPr>
            <w:tcW w:w="103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906.69</w:t>
            </w:r>
          </w:p>
        </w:tc>
        <w:tc>
          <w:tcPr>
            <w:tcW w:w="135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38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14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423"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87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2210201</w:t>
            </w:r>
          </w:p>
        </w:tc>
        <w:tc>
          <w:tcPr>
            <w:tcW w:w="241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住房公积金</w:t>
            </w:r>
          </w:p>
        </w:tc>
        <w:tc>
          <w:tcPr>
            <w:tcW w:w="141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303.78</w:t>
            </w:r>
          </w:p>
        </w:tc>
        <w:tc>
          <w:tcPr>
            <w:tcW w:w="103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303.78</w:t>
            </w:r>
          </w:p>
        </w:tc>
        <w:tc>
          <w:tcPr>
            <w:tcW w:w="135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38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14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423"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87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2210202</w:t>
            </w:r>
          </w:p>
        </w:tc>
        <w:tc>
          <w:tcPr>
            <w:tcW w:w="241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提租补贴</w:t>
            </w:r>
          </w:p>
        </w:tc>
        <w:tc>
          <w:tcPr>
            <w:tcW w:w="141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602.91</w:t>
            </w:r>
          </w:p>
        </w:tc>
        <w:tc>
          <w:tcPr>
            <w:tcW w:w="103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602.91</w:t>
            </w:r>
          </w:p>
        </w:tc>
        <w:tc>
          <w:tcPr>
            <w:tcW w:w="135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38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14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1423"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bl>
    <w:p>
      <w:pPr>
        <w:spacing w:before="59"/>
        <w:ind w:firstLine="400" w:firstLineChars="200"/>
        <w:rPr>
          <w:sz w:val="20"/>
          <w:szCs w:val="20"/>
          <w:highlight w:val="none"/>
        </w:rPr>
      </w:pPr>
      <w:r>
        <w:rPr>
          <w:sz w:val="20"/>
          <w:szCs w:val="20"/>
          <w:highlight w:val="none"/>
        </w:rPr>
        <w:t>注：</w:t>
      </w:r>
      <w:r>
        <w:rPr>
          <w:rFonts w:ascii="Times New Roman" w:hAnsi="Times New Roman" w:eastAsia="Times New Roman"/>
          <w:sz w:val="20"/>
          <w:szCs w:val="20"/>
          <w:highlight w:val="none"/>
        </w:rPr>
        <w:t>“</w:t>
      </w:r>
      <w:r>
        <w:rPr>
          <w:sz w:val="20"/>
          <w:szCs w:val="20"/>
          <w:highlight w:val="none"/>
        </w:rPr>
        <w:t>科目编码</w:t>
      </w:r>
      <w:r>
        <w:rPr>
          <w:rFonts w:ascii="Times New Roman" w:hAnsi="Times New Roman" w:eastAsia="Times New Roman"/>
          <w:sz w:val="20"/>
          <w:szCs w:val="20"/>
          <w:highlight w:val="none"/>
        </w:rPr>
        <w:t>”</w:t>
      </w:r>
      <w:r>
        <w:rPr>
          <w:sz w:val="20"/>
          <w:szCs w:val="20"/>
          <w:highlight w:val="none"/>
        </w:rPr>
        <w:t>和</w:t>
      </w:r>
      <w:r>
        <w:rPr>
          <w:rFonts w:ascii="Times New Roman" w:hAnsi="Times New Roman" w:eastAsia="Times New Roman"/>
          <w:sz w:val="20"/>
          <w:szCs w:val="20"/>
          <w:highlight w:val="none"/>
        </w:rPr>
        <w:t>“</w:t>
      </w:r>
      <w:r>
        <w:rPr>
          <w:sz w:val="20"/>
          <w:szCs w:val="20"/>
          <w:highlight w:val="none"/>
        </w:rPr>
        <w:t>科目名称</w:t>
      </w:r>
      <w:r>
        <w:rPr>
          <w:rFonts w:ascii="Times New Roman" w:hAnsi="Times New Roman" w:eastAsia="Times New Roman"/>
          <w:sz w:val="20"/>
          <w:szCs w:val="20"/>
          <w:highlight w:val="none"/>
        </w:rPr>
        <w:t>”</w:t>
      </w:r>
      <w:r>
        <w:rPr>
          <w:sz w:val="20"/>
          <w:szCs w:val="20"/>
          <w:highlight w:val="none"/>
        </w:rPr>
        <w:t>均为必填项。</w:t>
      </w:r>
    </w:p>
    <w:p>
      <w:pPr>
        <w:rPr>
          <w:sz w:val="20"/>
          <w:highlight w:val="none"/>
        </w:rPr>
        <w:sectPr>
          <w:pgSz w:w="16840" w:h="11910" w:orient="landscape"/>
          <w:pgMar w:top="1100" w:right="1320" w:bottom="280" w:left="1320" w:header="720" w:footer="720" w:gutter="0"/>
          <w:cols w:space="720" w:num="1"/>
        </w:sectPr>
      </w:pPr>
    </w:p>
    <w:p>
      <w:pPr>
        <w:pStyle w:val="2"/>
        <w:rPr>
          <w:sz w:val="20"/>
          <w:highlight w:val="none"/>
        </w:rPr>
      </w:pPr>
    </w:p>
    <w:p>
      <w:pPr>
        <w:pStyle w:val="2"/>
        <w:rPr>
          <w:sz w:val="20"/>
          <w:highlight w:val="none"/>
        </w:rPr>
      </w:pPr>
    </w:p>
    <w:p>
      <w:pPr>
        <w:pStyle w:val="2"/>
        <w:spacing w:before="5"/>
        <w:rPr>
          <w:sz w:val="27"/>
          <w:highlight w:val="none"/>
        </w:rPr>
      </w:pPr>
    </w:p>
    <w:p>
      <w:pPr>
        <w:pStyle w:val="12"/>
        <w:spacing w:before="51"/>
        <w:ind w:left="4126"/>
        <w:jc w:val="left"/>
        <w:rPr>
          <w:highlight w:val="none"/>
        </w:rPr>
      </w:pPr>
      <w:r>
        <w:rPr>
          <w:highlight w:val="none"/>
        </w:rPr>
        <w:t>财政拨款收入支出决算总表</w:t>
      </w:r>
    </w:p>
    <w:p>
      <w:pPr>
        <w:pStyle w:val="2"/>
        <w:spacing w:before="8"/>
        <w:rPr>
          <w:sz w:val="29"/>
          <w:highlight w:val="none"/>
        </w:rPr>
      </w:pPr>
    </w:p>
    <w:p>
      <w:pPr>
        <w:spacing w:before="78"/>
        <w:ind w:right="225"/>
        <w:jc w:val="right"/>
        <w:rPr>
          <w:sz w:val="20"/>
          <w:highlight w:val="none"/>
        </w:rPr>
      </w:pPr>
      <w:r>
        <w:rPr>
          <w:spacing w:val="-18"/>
          <w:sz w:val="20"/>
          <w:highlight w:val="none"/>
        </w:rPr>
        <w:t xml:space="preserve">公开 </w:t>
      </w:r>
      <w:r>
        <w:rPr>
          <w:rFonts w:ascii="Times New Roman" w:eastAsia="Times New Roman"/>
          <w:sz w:val="20"/>
          <w:highlight w:val="none"/>
        </w:rPr>
        <w:t xml:space="preserve">04 </w:t>
      </w:r>
      <w:r>
        <w:rPr>
          <w:sz w:val="20"/>
          <w:highlight w:val="none"/>
        </w:rPr>
        <w:t>表</w:t>
      </w:r>
    </w:p>
    <w:p>
      <w:pPr>
        <w:pStyle w:val="2"/>
        <w:spacing w:before="9"/>
        <w:rPr>
          <w:sz w:val="16"/>
          <w:highlight w:val="none"/>
        </w:rPr>
      </w:pPr>
    </w:p>
    <w:p>
      <w:pPr>
        <w:tabs>
          <w:tab w:val="left" w:pos="12345"/>
        </w:tabs>
        <w:spacing w:after="35"/>
        <w:ind w:right="226"/>
        <w:jc w:val="right"/>
        <w:rPr>
          <w:sz w:val="20"/>
          <w:highlight w:val="none"/>
        </w:rPr>
      </w:pPr>
      <w:r>
        <w:rPr>
          <w:sz w:val="20"/>
          <w:highlight w:val="none"/>
        </w:rPr>
        <w:t>部门名称：</w:t>
      </w:r>
      <w:r>
        <w:rPr>
          <w:rFonts w:hint="eastAsia" w:ascii="Times New Roman"/>
          <w:sz w:val="20"/>
          <w:highlight w:val="none"/>
          <w:lang w:eastAsia="zh-CN"/>
        </w:rPr>
        <w:t>连云港市海州区人民检察院</w:t>
      </w:r>
      <w:r>
        <w:rPr>
          <w:rFonts w:ascii="Times New Roman" w:eastAsia="Times New Roman"/>
          <w:sz w:val="20"/>
          <w:highlight w:val="none"/>
        </w:rPr>
        <w:tab/>
      </w:r>
      <w:r>
        <w:rPr>
          <w:w w:val="95"/>
          <w:sz w:val="20"/>
          <w:highlight w:val="none"/>
        </w:rPr>
        <w:t>金额单位：万元</w:t>
      </w:r>
    </w:p>
    <w:tbl>
      <w:tblPr>
        <w:tblStyle w:val="8"/>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16"/>
        <w:gridCol w:w="980"/>
        <w:gridCol w:w="3687"/>
        <w:gridCol w:w="1133"/>
        <w:gridCol w:w="1560"/>
        <w:gridCol w:w="1561"/>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396" w:type="dxa"/>
            <w:gridSpan w:val="2"/>
          </w:tcPr>
          <w:p>
            <w:pPr>
              <w:pStyle w:val="16"/>
              <w:tabs>
                <w:tab w:val="left" w:pos="714"/>
              </w:tabs>
              <w:spacing w:before="28"/>
              <w:ind w:left="11"/>
              <w:jc w:val="center"/>
              <w:rPr>
                <w:sz w:val="20"/>
                <w:szCs w:val="20"/>
                <w:highlight w:val="none"/>
              </w:rPr>
            </w:pPr>
            <w:r>
              <w:rPr>
                <w:sz w:val="20"/>
                <w:szCs w:val="20"/>
                <w:highlight w:val="none"/>
              </w:rPr>
              <w:t>收</w:t>
            </w:r>
            <w:r>
              <w:rPr>
                <w:sz w:val="20"/>
                <w:szCs w:val="20"/>
                <w:highlight w:val="none"/>
              </w:rPr>
              <w:tab/>
            </w:r>
            <w:r>
              <w:rPr>
                <w:sz w:val="20"/>
                <w:szCs w:val="20"/>
                <w:highlight w:val="none"/>
              </w:rPr>
              <w:t>入</w:t>
            </w:r>
          </w:p>
        </w:tc>
        <w:tc>
          <w:tcPr>
            <w:tcW w:w="9566" w:type="dxa"/>
            <w:gridSpan w:val="5"/>
          </w:tcPr>
          <w:p>
            <w:pPr>
              <w:pStyle w:val="16"/>
              <w:tabs>
                <w:tab w:val="left" w:pos="712"/>
              </w:tabs>
              <w:spacing w:before="28"/>
              <w:ind w:left="9"/>
              <w:jc w:val="center"/>
              <w:rPr>
                <w:sz w:val="20"/>
                <w:szCs w:val="20"/>
                <w:highlight w:val="none"/>
              </w:rPr>
            </w:pPr>
            <w:r>
              <w:rPr>
                <w:sz w:val="20"/>
                <w:szCs w:val="20"/>
                <w:highlight w:val="none"/>
              </w:rPr>
              <w:t>支</w:t>
            </w:r>
            <w:r>
              <w:rPr>
                <w:sz w:val="20"/>
                <w:szCs w:val="20"/>
                <w:highlight w:val="none"/>
              </w:rPr>
              <w:tab/>
            </w:r>
            <w:r>
              <w:rPr>
                <w:sz w:val="20"/>
                <w:szCs w:val="20"/>
                <w:highlight w:val="none"/>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vMerge w:val="restart"/>
          </w:tcPr>
          <w:p>
            <w:pPr>
              <w:pStyle w:val="16"/>
              <w:spacing w:before="8"/>
              <w:rPr>
                <w:sz w:val="20"/>
                <w:szCs w:val="20"/>
                <w:highlight w:val="none"/>
              </w:rPr>
            </w:pPr>
          </w:p>
          <w:p>
            <w:pPr>
              <w:pStyle w:val="16"/>
              <w:tabs>
                <w:tab w:val="left" w:pos="614"/>
              </w:tabs>
              <w:spacing w:before="0"/>
              <w:ind w:left="12"/>
              <w:jc w:val="center"/>
              <w:rPr>
                <w:sz w:val="20"/>
                <w:szCs w:val="20"/>
                <w:highlight w:val="none"/>
              </w:rPr>
            </w:pPr>
            <w:r>
              <w:rPr>
                <w:sz w:val="20"/>
                <w:szCs w:val="20"/>
                <w:highlight w:val="none"/>
              </w:rPr>
              <w:t>项</w:t>
            </w:r>
            <w:r>
              <w:rPr>
                <w:sz w:val="20"/>
                <w:szCs w:val="20"/>
                <w:highlight w:val="none"/>
              </w:rPr>
              <w:tab/>
            </w:r>
            <w:r>
              <w:rPr>
                <w:sz w:val="20"/>
                <w:szCs w:val="20"/>
                <w:highlight w:val="none"/>
              </w:rPr>
              <w:t>目</w:t>
            </w:r>
          </w:p>
        </w:tc>
        <w:tc>
          <w:tcPr>
            <w:tcW w:w="980" w:type="dxa"/>
            <w:vMerge w:val="restart"/>
          </w:tcPr>
          <w:p>
            <w:pPr>
              <w:pStyle w:val="16"/>
              <w:spacing w:before="8"/>
              <w:rPr>
                <w:sz w:val="20"/>
                <w:szCs w:val="20"/>
                <w:highlight w:val="none"/>
              </w:rPr>
            </w:pPr>
          </w:p>
          <w:p>
            <w:pPr>
              <w:pStyle w:val="16"/>
              <w:spacing w:before="0"/>
              <w:ind w:left="188"/>
              <w:rPr>
                <w:sz w:val="20"/>
                <w:szCs w:val="20"/>
                <w:highlight w:val="none"/>
              </w:rPr>
            </w:pPr>
            <w:r>
              <w:rPr>
                <w:sz w:val="20"/>
                <w:szCs w:val="20"/>
                <w:highlight w:val="none"/>
              </w:rPr>
              <w:t>决算数</w:t>
            </w:r>
          </w:p>
        </w:tc>
        <w:tc>
          <w:tcPr>
            <w:tcW w:w="3687" w:type="dxa"/>
            <w:vMerge w:val="restart"/>
          </w:tcPr>
          <w:p>
            <w:pPr>
              <w:pStyle w:val="16"/>
              <w:spacing w:before="8"/>
              <w:rPr>
                <w:sz w:val="20"/>
                <w:szCs w:val="20"/>
                <w:highlight w:val="none"/>
              </w:rPr>
            </w:pPr>
          </w:p>
          <w:p>
            <w:pPr>
              <w:pStyle w:val="16"/>
              <w:spacing w:before="0"/>
              <w:ind w:left="1217" w:right="1215"/>
              <w:jc w:val="center"/>
              <w:rPr>
                <w:sz w:val="20"/>
                <w:szCs w:val="20"/>
                <w:highlight w:val="none"/>
              </w:rPr>
            </w:pPr>
            <w:r>
              <w:rPr>
                <w:sz w:val="20"/>
                <w:szCs w:val="20"/>
                <w:highlight w:val="none"/>
              </w:rPr>
              <w:t>按功能分类</w:t>
            </w:r>
          </w:p>
        </w:tc>
        <w:tc>
          <w:tcPr>
            <w:tcW w:w="5879" w:type="dxa"/>
            <w:gridSpan w:val="4"/>
          </w:tcPr>
          <w:p>
            <w:pPr>
              <w:pStyle w:val="16"/>
              <w:spacing w:before="27"/>
              <w:ind w:left="2615" w:right="2614"/>
              <w:jc w:val="center"/>
              <w:rPr>
                <w:sz w:val="20"/>
                <w:szCs w:val="20"/>
                <w:highlight w:val="none"/>
              </w:rPr>
            </w:pPr>
            <w:r>
              <w:rPr>
                <w:sz w:val="20"/>
                <w:szCs w:val="20"/>
                <w:highlight w:val="none"/>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3416" w:type="dxa"/>
            <w:vMerge w:val="continue"/>
            <w:tcBorders>
              <w:top w:val="nil"/>
            </w:tcBorders>
          </w:tcPr>
          <w:p>
            <w:pPr>
              <w:rPr>
                <w:sz w:val="20"/>
                <w:szCs w:val="20"/>
                <w:highlight w:val="none"/>
              </w:rPr>
            </w:pPr>
          </w:p>
        </w:tc>
        <w:tc>
          <w:tcPr>
            <w:tcW w:w="980" w:type="dxa"/>
            <w:vMerge w:val="continue"/>
            <w:tcBorders>
              <w:top w:val="nil"/>
            </w:tcBorders>
          </w:tcPr>
          <w:p>
            <w:pPr>
              <w:rPr>
                <w:sz w:val="20"/>
                <w:szCs w:val="20"/>
                <w:highlight w:val="none"/>
              </w:rPr>
            </w:pPr>
          </w:p>
        </w:tc>
        <w:tc>
          <w:tcPr>
            <w:tcW w:w="3687" w:type="dxa"/>
            <w:vMerge w:val="continue"/>
            <w:tcBorders>
              <w:top w:val="nil"/>
            </w:tcBorders>
          </w:tcPr>
          <w:p>
            <w:pPr>
              <w:rPr>
                <w:sz w:val="20"/>
                <w:szCs w:val="20"/>
                <w:highlight w:val="none"/>
              </w:rPr>
            </w:pPr>
          </w:p>
        </w:tc>
        <w:tc>
          <w:tcPr>
            <w:tcW w:w="1133" w:type="dxa"/>
          </w:tcPr>
          <w:p>
            <w:pPr>
              <w:pStyle w:val="16"/>
              <w:spacing w:before="11"/>
              <w:rPr>
                <w:sz w:val="20"/>
                <w:szCs w:val="20"/>
                <w:highlight w:val="none"/>
              </w:rPr>
            </w:pPr>
          </w:p>
          <w:p>
            <w:pPr>
              <w:pStyle w:val="16"/>
              <w:spacing w:before="0"/>
              <w:ind w:left="363"/>
              <w:rPr>
                <w:sz w:val="20"/>
                <w:szCs w:val="20"/>
                <w:highlight w:val="none"/>
              </w:rPr>
            </w:pPr>
            <w:r>
              <w:rPr>
                <w:sz w:val="20"/>
                <w:szCs w:val="20"/>
                <w:highlight w:val="none"/>
              </w:rPr>
              <w:t>小计</w:t>
            </w:r>
          </w:p>
        </w:tc>
        <w:tc>
          <w:tcPr>
            <w:tcW w:w="1560" w:type="dxa"/>
          </w:tcPr>
          <w:p>
            <w:pPr>
              <w:pStyle w:val="16"/>
              <w:spacing w:before="35"/>
              <w:ind w:left="157" w:right="153"/>
              <w:jc w:val="center"/>
              <w:rPr>
                <w:sz w:val="20"/>
                <w:szCs w:val="20"/>
                <w:highlight w:val="none"/>
              </w:rPr>
            </w:pPr>
            <w:r>
              <w:rPr>
                <w:sz w:val="20"/>
                <w:szCs w:val="20"/>
                <w:highlight w:val="none"/>
              </w:rPr>
              <w:t>一般公共预算</w:t>
            </w:r>
          </w:p>
          <w:p>
            <w:pPr>
              <w:pStyle w:val="16"/>
              <w:spacing w:before="55"/>
              <w:ind w:left="155" w:right="153"/>
              <w:jc w:val="center"/>
              <w:rPr>
                <w:sz w:val="20"/>
                <w:szCs w:val="20"/>
                <w:highlight w:val="none"/>
              </w:rPr>
            </w:pPr>
            <w:r>
              <w:rPr>
                <w:sz w:val="20"/>
                <w:szCs w:val="20"/>
                <w:highlight w:val="none"/>
              </w:rPr>
              <w:t>财政拨款</w:t>
            </w:r>
          </w:p>
        </w:tc>
        <w:tc>
          <w:tcPr>
            <w:tcW w:w="1561" w:type="dxa"/>
          </w:tcPr>
          <w:p>
            <w:pPr>
              <w:pStyle w:val="16"/>
              <w:spacing w:before="35"/>
              <w:ind w:left="178"/>
              <w:rPr>
                <w:sz w:val="20"/>
                <w:szCs w:val="20"/>
                <w:highlight w:val="none"/>
              </w:rPr>
            </w:pPr>
            <w:r>
              <w:rPr>
                <w:sz w:val="20"/>
                <w:szCs w:val="20"/>
                <w:highlight w:val="none"/>
              </w:rPr>
              <w:t>政府性基金预</w:t>
            </w:r>
          </w:p>
          <w:p>
            <w:pPr>
              <w:pStyle w:val="16"/>
              <w:spacing w:before="55"/>
              <w:ind w:left="277"/>
              <w:rPr>
                <w:sz w:val="20"/>
                <w:szCs w:val="20"/>
                <w:highlight w:val="none"/>
              </w:rPr>
            </w:pPr>
            <w:r>
              <w:rPr>
                <w:sz w:val="20"/>
                <w:szCs w:val="20"/>
                <w:highlight w:val="none"/>
              </w:rPr>
              <w:t>算财政拨款</w:t>
            </w:r>
          </w:p>
        </w:tc>
        <w:tc>
          <w:tcPr>
            <w:tcW w:w="1625" w:type="dxa"/>
          </w:tcPr>
          <w:p>
            <w:pPr>
              <w:pStyle w:val="16"/>
              <w:spacing w:before="35"/>
              <w:ind w:left="89" w:right="85"/>
              <w:jc w:val="center"/>
              <w:rPr>
                <w:sz w:val="20"/>
                <w:szCs w:val="20"/>
                <w:highlight w:val="none"/>
              </w:rPr>
            </w:pPr>
            <w:r>
              <w:rPr>
                <w:sz w:val="20"/>
                <w:szCs w:val="20"/>
                <w:highlight w:val="none"/>
              </w:rPr>
              <w:t>国有资本经营预</w:t>
            </w:r>
          </w:p>
          <w:p>
            <w:pPr>
              <w:pStyle w:val="16"/>
              <w:spacing w:before="55"/>
              <w:ind w:left="88" w:right="85"/>
              <w:jc w:val="center"/>
              <w:rPr>
                <w:sz w:val="20"/>
                <w:szCs w:val="20"/>
                <w:highlight w:val="none"/>
              </w:rPr>
            </w:pPr>
            <w:r>
              <w:rPr>
                <w:sz w:val="20"/>
                <w:szCs w:val="20"/>
                <w:highlight w:val="none"/>
              </w:rPr>
              <w:t>算财政拨款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416" w:type="dxa"/>
          </w:tcPr>
          <w:p>
            <w:pPr>
              <w:pStyle w:val="16"/>
              <w:spacing w:before="30"/>
              <w:ind w:left="107"/>
              <w:rPr>
                <w:sz w:val="20"/>
                <w:szCs w:val="20"/>
                <w:highlight w:val="none"/>
              </w:rPr>
            </w:pPr>
            <w:r>
              <w:rPr>
                <w:sz w:val="20"/>
                <w:szCs w:val="20"/>
                <w:highlight w:val="none"/>
              </w:rPr>
              <w:t>一、一般公共预算财政拨款收入</w:t>
            </w:r>
          </w:p>
        </w:tc>
        <w:tc>
          <w:tcPr>
            <w:tcW w:w="98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4,713.80</w:t>
            </w:r>
          </w:p>
        </w:tc>
        <w:tc>
          <w:tcPr>
            <w:tcW w:w="3687" w:type="dxa"/>
          </w:tcPr>
          <w:p>
            <w:pPr>
              <w:pStyle w:val="16"/>
              <w:spacing w:before="30"/>
              <w:ind w:left="107"/>
              <w:rPr>
                <w:sz w:val="20"/>
                <w:szCs w:val="20"/>
                <w:highlight w:val="none"/>
              </w:rPr>
            </w:pPr>
            <w:r>
              <w:rPr>
                <w:sz w:val="20"/>
                <w:szCs w:val="20"/>
                <w:highlight w:val="none"/>
              </w:rPr>
              <w:t>一、一般公共服务支出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27"/>
              <w:ind w:left="107"/>
              <w:rPr>
                <w:sz w:val="20"/>
                <w:szCs w:val="20"/>
                <w:highlight w:val="none"/>
              </w:rPr>
            </w:pPr>
            <w:r>
              <w:rPr>
                <w:sz w:val="20"/>
                <w:szCs w:val="20"/>
                <w:highlight w:val="none"/>
              </w:rPr>
              <w:t>二、政府性基金预算财政拨款收入</w:t>
            </w:r>
          </w:p>
        </w:tc>
        <w:tc>
          <w:tcPr>
            <w:tcW w:w="98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687" w:type="dxa"/>
          </w:tcPr>
          <w:p>
            <w:pPr>
              <w:pStyle w:val="16"/>
              <w:spacing w:before="27"/>
              <w:ind w:left="107"/>
              <w:rPr>
                <w:sz w:val="20"/>
                <w:szCs w:val="20"/>
                <w:highlight w:val="none"/>
              </w:rPr>
            </w:pPr>
            <w:r>
              <w:rPr>
                <w:sz w:val="20"/>
                <w:szCs w:val="20"/>
                <w:highlight w:val="none"/>
              </w:rPr>
              <w:t>二、外交支出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27"/>
              <w:ind w:left="107"/>
              <w:rPr>
                <w:sz w:val="20"/>
                <w:szCs w:val="20"/>
                <w:highlight w:val="none"/>
              </w:rPr>
            </w:pPr>
            <w:r>
              <w:rPr>
                <w:sz w:val="20"/>
                <w:szCs w:val="20"/>
                <w:highlight w:val="none"/>
              </w:rPr>
              <w:t>三、国有资本经营预算财政拨款收入</w:t>
            </w:r>
          </w:p>
        </w:tc>
        <w:tc>
          <w:tcPr>
            <w:tcW w:w="98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687" w:type="dxa"/>
          </w:tcPr>
          <w:p>
            <w:pPr>
              <w:pStyle w:val="16"/>
              <w:spacing w:before="27"/>
              <w:ind w:left="107"/>
              <w:rPr>
                <w:sz w:val="20"/>
                <w:szCs w:val="20"/>
                <w:highlight w:val="none"/>
              </w:rPr>
            </w:pPr>
            <w:r>
              <w:rPr>
                <w:sz w:val="20"/>
                <w:szCs w:val="20"/>
                <w:highlight w:val="none"/>
              </w:rPr>
              <w:t>三、国防支出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416" w:type="dxa"/>
          </w:tcPr>
          <w:p>
            <w:pPr>
              <w:pStyle w:val="16"/>
              <w:spacing w:before="27"/>
              <w:ind w:left="107"/>
              <w:rPr>
                <w:sz w:val="20"/>
                <w:szCs w:val="20"/>
                <w:highlight w:val="none"/>
              </w:rPr>
            </w:pPr>
            <w:r>
              <w:rPr>
                <w:w w:val="99"/>
                <w:sz w:val="20"/>
                <w:szCs w:val="20"/>
                <w:highlight w:val="none"/>
              </w:rPr>
              <w:t xml:space="preserve"> </w:t>
            </w:r>
          </w:p>
        </w:tc>
        <w:tc>
          <w:tcPr>
            <w:tcW w:w="980" w:type="dxa"/>
          </w:tcPr>
          <w:p>
            <w:pPr>
              <w:pStyle w:val="16"/>
              <w:spacing w:before="27"/>
              <w:ind w:right="-15"/>
              <w:jc w:val="right"/>
              <w:rPr>
                <w:sz w:val="20"/>
                <w:szCs w:val="20"/>
                <w:highlight w:val="none"/>
              </w:rPr>
            </w:pPr>
            <w:r>
              <w:rPr>
                <w:w w:val="99"/>
                <w:sz w:val="20"/>
                <w:szCs w:val="20"/>
                <w:highlight w:val="none"/>
              </w:rPr>
              <w:t xml:space="preserve"> </w:t>
            </w:r>
          </w:p>
        </w:tc>
        <w:tc>
          <w:tcPr>
            <w:tcW w:w="3687" w:type="dxa"/>
          </w:tcPr>
          <w:p>
            <w:pPr>
              <w:pStyle w:val="16"/>
              <w:spacing w:before="27"/>
              <w:ind w:left="107"/>
              <w:rPr>
                <w:sz w:val="20"/>
                <w:szCs w:val="20"/>
                <w:highlight w:val="none"/>
              </w:rPr>
            </w:pPr>
            <w:r>
              <w:rPr>
                <w:sz w:val="20"/>
                <w:szCs w:val="20"/>
                <w:highlight w:val="none"/>
              </w:rPr>
              <w:t>四、公共安全支出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3,322.32</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3,322.32</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28"/>
              <w:ind w:left="107"/>
              <w:rPr>
                <w:sz w:val="20"/>
                <w:szCs w:val="20"/>
                <w:highlight w:val="none"/>
              </w:rPr>
            </w:pPr>
            <w:r>
              <w:rPr>
                <w:w w:val="99"/>
                <w:sz w:val="20"/>
                <w:szCs w:val="20"/>
                <w:highlight w:val="none"/>
              </w:rPr>
              <w:t xml:space="preserve"> </w:t>
            </w:r>
          </w:p>
        </w:tc>
        <w:tc>
          <w:tcPr>
            <w:tcW w:w="980" w:type="dxa"/>
          </w:tcPr>
          <w:p>
            <w:pPr>
              <w:pStyle w:val="16"/>
              <w:spacing w:before="28"/>
              <w:ind w:right="-15"/>
              <w:jc w:val="right"/>
              <w:rPr>
                <w:sz w:val="20"/>
                <w:szCs w:val="20"/>
                <w:highlight w:val="none"/>
              </w:rPr>
            </w:pPr>
            <w:r>
              <w:rPr>
                <w:w w:val="99"/>
                <w:sz w:val="20"/>
                <w:szCs w:val="20"/>
                <w:highlight w:val="none"/>
              </w:rPr>
              <w:t xml:space="preserve"> </w:t>
            </w:r>
          </w:p>
        </w:tc>
        <w:tc>
          <w:tcPr>
            <w:tcW w:w="3687" w:type="dxa"/>
          </w:tcPr>
          <w:p>
            <w:pPr>
              <w:pStyle w:val="16"/>
              <w:spacing w:before="28"/>
              <w:ind w:left="107"/>
              <w:rPr>
                <w:sz w:val="20"/>
                <w:szCs w:val="20"/>
                <w:highlight w:val="none"/>
              </w:rPr>
            </w:pPr>
            <w:r>
              <w:rPr>
                <w:sz w:val="20"/>
                <w:szCs w:val="20"/>
                <w:highlight w:val="none"/>
              </w:rPr>
              <w:t>五、教育支出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30"/>
              <w:ind w:left="107"/>
              <w:rPr>
                <w:sz w:val="20"/>
                <w:szCs w:val="20"/>
                <w:highlight w:val="none"/>
              </w:rPr>
            </w:pPr>
            <w:r>
              <w:rPr>
                <w:w w:val="99"/>
                <w:sz w:val="20"/>
                <w:szCs w:val="20"/>
                <w:highlight w:val="none"/>
              </w:rPr>
              <w:t xml:space="preserve"> </w:t>
            </w:r>
          </w:p>
        </w:tc>
        <w:tc>
          <w:tcPr>
            <w:tcW w:w="980" w:type="dxa"/>
          </w:tcPr>
          <w:p>
            <w:pPr>
              <w:pStyle w:val="16"/>
              <w:spacing w:before="30"/>
              <w:ind w:right="-15"/>
              <w:jc w:val="right"/>
              <w:rPr>
                <w:sz w:val="20"/>
                <w:szCs w:val="20"/>
                <w:highlight w:val="none"/>
              </w:rPr>
            </w:pPr>
            <w:r>
              <w:rPr>
                <w:w w:val="99"/>
                <w:sz w:val="20"/>
                <w:szCs w:val="20"/>
                <w:highlight w:val="none"/>
              </w:rPr>
              <w:t xml:space="preserve"> </w:t>
            </w:r>
          </w:p>
        </w:tc>
        <w:tc>
          <w:tcPr>
            <w:tcW w:w="3687" w:type="dxa"/>
          </w:tcPr>
          <w:p>
            <w:pPr>
              <w:pStyle w:val="16"/>
              <w:spacing w:before="30"/>
              <w:ind w:left="107"/>
              <w:rPr>
                <w:sz w:val="20"/>
                <w:szCs w:val="20"/>
                <w:highlight w:val="none"/>
              </w:rPr>
            </w:pPr>
            <w:r>
              <w:rPr>
                <w:sz w:val="20"/>
                <w:szCs w:val="20"/>
                <w:highlight w:val="none"/>
              </w:rPr>
              <w:t>六、科学技术支出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30"/>
              <w:ind w:left="107"/>
              <w:rPr>
                <w:sz w:val="20"/>
                <w:szCs w:val="20"/>
                <w:highlight w:val="none"/>
              </w:rPr>
            </w:pPr>
            <w:r>
              <w:rPr>
                <w:w w:val="99"/>
                <w:sz w:val="20"/>
                <w:szCs w:val="20"/>
                <w:highlight w:val="none"/>
              </w:rPr>
              <w:t xml:space="preserve"> </w:t>
            </w:r>
          </w:p>
        </w:tc>
        <w:tc>
          <w:tcPr>
            <w:tcW w:w="980" w:type="dxa"/>
          </w:tcPr>
          <w:p>
            <w:pPr>
              <w:pStyle w:val="16"/>
              <w:spacing w:before="30"/>
              <w:ind w:right="-15"/>
              <w:jc w:val="right"/>
              <w:rPr>
                <w:sz w:val="20"/>
                <w:szCs w:val="20"/>
                <w:highlight w:val="none"/>
              </w:rPr>
            </w:pPr>
            <w:r>
              <w:rPr>
                <w:w w:val="99"/>
                <w:sz w:val="20"/>
                <w:szCs w:val="20"/>
                <w:highlight w:val="none"/>
              </w:rPr>
              <w:t xml:space="preserve"> </w:t>
            </w:r>
          </w:p>
        </w:tc>
        <w:tc>
          <w:tcPr>
            <w:tcW w:w="3687" w:type="dxa"/>
          </w:tcPr>
          <w:p>
            <w:pPr>
              <w:pStyle w:val="16"/>
              <w:spacing w:before="30"/>
              <w:ind w:left="107"/>
              <w:rPr>
                <w:sz w:val="20"/>
                <w:szCs w:val="20"/>
                <w:highlight w:val="none"/>
              </w:rPr>
            </w:pPr>
            <w:r>
              <w:rPr>
                <w:sz w:val="20"/>
                <w:szCs w:val="20"/>
                <w:highlight w:val="none"/>
              </w:rPr>
              <w:t>七、文化旅游体育与传媒支出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30"/>
              <w:ind w:left="107"/>
              <w:rPr>
                <w:sz w:val="20"/>
                <w:szCs w:val="20"/>
                <w:highlight w:val="none"/>
              </w:rPr>
            </w:pPr>
            <w:r>
              <w:rPr>
                <w:w w:val="99"/>
                <w:sz w:val="20"/>
                <w:szCs w:val="20"/>
                <w:highlight w:val="none"/>
              </w:rPr>
              <w:t xml:space="preserve"> </w:t>
            </w:r>
          </w:p>
        </w:tc>
        <w:tc>
          <w:tcPr>
            <w:tcW w:w="980" w:type="dxa"/>
          </w:tcPr>
          <w:p>
            <w:pPr>
              <w:pStyle w:val="16"/>
              <w:spacing w:before="30"/>
              <w:ind w:right="-15"/>
              <w:jc w:val="right"/>
              <w:rPr>
                <w:sz w:val="20"/>
                <w:szCs w:val="20"/>
                <w:highlight w:val="none"/>
              </w:rPr>
            </w:pPr>
            <w:r>
              <w:rPr>
                <w:w w:val="99"/>
                <w:sz w:val="20"/>
                <w:szCs w:val="20"/>
                <w:highlight w:val="none"/>
              </w:rPr>
              <w:t xml:space="preserve"> </w:t>
            </w:r>
          </w:p>
        </w:tc>
        <w:tc>
          <w:tcPr>
            <w:tcW w:w="3687" w:type="dxa"/>
          </w:tcPr>
          <w:p>
            <w:pPr>
              <w:pStyle w:val="16"/>
              <w:spacing w:before="30"/>
              <w:ind w:left="107"/>
              <w:rPr>
                <w:sz w:val="20"/>
                <w:szCs w:val="20"/>
                <w:highlight w:val="none"/>
              </w:rPr>
            </w:pPr>
            <w:r>
              <w:rPr>
                <w:sz w:val="20"/>
                <w:szCs w:val="20"/>
                <w:highlight w:val="none"/>
              </w:rPr>
              <w:t>八、社会保障和就业支出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251.01</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251.01</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30"/>
              <w:ind w:left="107"/>
              <w:rPr>
                <w:sz w:val="20"/>
                <w:szCs w:val="20"/>
                <w:highlight w:val="none"/>
              </w:rPr>
            </w:pPr>
            <w:r>
              <w:rPr>
                <w:w w:val="99"/>
                <w:sz w:val="20"/>
                <w:szCs w:val="20"/>
                <w:highlight w:val="none"/>
              </w:rPr>
              <w:t xml:space="preserve"> </w:t>
            </w:r>
          </w:p>
        </w:tc>
        <w:tc>
          <w:tcPr>
            <w:tcW w:w="980" w:type="dxa"/>
          </w:tcPr>
          <w:p>
            <w:pPr>
              <w:pStyle w:val="16"/>
              <w:spacing w:before="30"/>
              <w:ind w:right="-15"/>
              <w:jc w:val="right"/>
              <w:rPr>
                <w:sz w:val="20"/>
                <w:szCs w:val="20"/>
                <w:highlight w:val="none"/>
              </w:rPr>
            </w:pPr>
            <w:r>
              <w:rPr>
                <w:w w:val="99"/>
                <w:sz w:val="20"/>
                <w:szCs w:val="20"/>
                <w:highlight w:val="none"/>
              </w:rPr>
              <w:t xml:space="preserve"> </w:t>
            </w:r>
          </w:p>
        </w:tc>
        <w:tc>
          <w:tcPr>
            <w:tcW w:w="3687" w:type="dxa"/>
          </w:tcPr>
          <w:p>
            <w:pPr>
              <w:pStyle w:val="16"/>
              <w:spacing w:before="30"/>
              <w:ind w:left="107"/>
              <w:rPr>
                <w:sz w:val="20"/>
                <w:szCs w:val="20"/>
                <w:highlight w:val="none"/>
              </w:rPr>
            </w:pPr>
            <w:r>
              <w:rPr>
                <w:sz w:val="20"/>
                <w:szCs w:val="20"/>
                <w:highlight w:val="none"/>
              </w:rPr>
              <w:t>九、卫生健康支出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30"/>
              <w:ind w:left="107"/>
              <w:rPr>
                <w:sz w:val="20"/>
                <w:szCs w:val="20"/>
                <w:highlight w:val="none"/>
              </w:rPr>
            </w:pPr>
            <w:r>
              <w:rPr>
                <w:w w:val="99"/>
                <w:sz w:val="20"/>
                <w:szCs w:val="20"/>
                <w:highlight w:val="none"/>
              </w:rPr>
              <w:t xml:space="preserve"> </w:t>
            </w:r>
          </w:p>
        </w:tc>
        <w:tc>
          <w:tcPr>
            <w:tcW w:w="980" w:type="dxa"/>
          </w:tcPr>
          <w:p>
            <w:pPr>
              <w:pStyle w:val="16"/>
              <w:spacing w:before="30"/>
              <w:ind w:right="-15"/>
              <w:jc w:val="right"/>
              <w:rPr>
                <w:sz w:val="20"/>
                <w:szCs w:val="20"/>
                <w:highlight w:val="none"/>
              </w:rPr>
            </w:pPr>
            <w:r>
              <w:rPr>
                <w:w w:val="99"/>
                <w:sz w:val="20"/>
                <w:szCs w:val="20"/>
                <w:highlight w:val="none"/>
              </w:rPr>
              <w:t xml:space="preserve"> </w:t>
            </w:r>
          </w:p>
        </w:tc>
        <w:tc>
          <w:tcPr>
            <w:tcW w:w="3687" w:type="dxa"/>
          </w:tcPr>
          <w:p>
            <w:pPr>
              <w:pStyle w:val="16"/>
              <w:spacing w:before="30"/>
              <w:ind w:left="107"/>
              <w:rPr>
                <w:sz w:val="20"/>
                <w:szCs w:val="20"/>
                <w:highlight w:val="none"/>
              </w:rPr>
            </w:pPr>
            <w:r>
              <w:rPr>
                <w:sz w:val="20"/>
                <w:szCs w:val="20"/>
                <w:highlight w:val="none"/>
              </w:rPr>
              <w:t>十、节能环保支出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30"/>
              <w:ind w:left="107"/>
              <w:rPr>
                <w:sz w:val="20"/>
                <w:szCs w:val="20"/>
                <w:highlight w:val="none"/>
              </w:rPr>
            </w:pPr>
            <w:r>
              <w:rPr>
                <w:w w:val="99"/>
                <w:sz w:val="20"/>
                <w:szCs w:val="20"/>
                <w:highlight w:val="none"/>
              </w:rPr>
              <w:t xml:space="preserve"> </w:t>
            </w:r>
          </w:p>
        </w:tc>
        <w:tc>
          <w:tcPr>
            <w:tcW w:w="980" w:type="dxa"/>
          </w:tcPr>
          <w:p>
            <w:pPr>
              <w:pStyle w:val="16"/>
              <w:spacing w:before="30"/>
              <w:ind w:right="-15"/>
              <w:jc w:val="right"/>
              <w:rPr>
                <w:sz w:val="20"/>
                <w:szCs w:val="20"/>
                <w:highlight w:val="none"/>
              </w:rPr>
            </w:pPr>
            <w:r>
              <w:rPr>
                <w:w w:val="99"/>
                <w:sz w:val="20"/>
                <w:szCs w:val="20"/>
                <w:highlight w:val="none"/>
              </w:rPr>
              <w:t xml:space="preserve"> </w:t>
            </w:r>
          </w:p>
        </w:tc>
        <w:tc>
          <w:tcPr>
            <w:tcW w:w="3687" w:type="dxa"/>
          </w:tcPr>
          <w:p>
            <w:pPr>
              <w:pStyle w:val="16"/>
              <w:spacing w:before="30"/>
              <w:ind w:left="107"/>
              <w:rPr>
                <w:sz w:val="20"/>
                <w:szCs w:val="20"/>
                <w:highlight w:val="none"/>
              </w:rPr>
            </w:pPr>
            <w:r>
              <w:rPr>
                <w:sz w:val="20"/>
                <w:szCs w:val="20"/>
                <w:highlight w:val="none"/>
              </w:rPr>
              <w:t>十一、城乡社区支出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416" w:type="dxa"/>
          </w:tcPr>
          <w:p>
            <w:pPr>
              <w:pStyle w:val="16"/>
              <w:spacing w:before="30"/>
              <w:ind w:left="107"/>
              <w:rPr>
                <w:sz w:val="20"/>
                <w:szCs w:val="20"/>
                <w:highlight w:val="none"/>
              </w:rPr>
            </w:pPr>
            <w:r>
              <w:rPr>
                <w:w w:val="99"/>
                <w:sz w:val="20"/>
                <w:szCs w:val="20"/>
                <w:highlight w:val="none"/>
              </w:rPr>
              <w:t xml:space="preserve"> </w:t>
            </w:r>
          </w:p>
        </w:tc>
        <w:tc>
          <w:tcPr>
            <w:tcW w:w="980" w:type="dxa"/>
          </w:tcPr>
          <w:p>
            <w:pPr>
              <w:pStyle w:val="16"/>
              <w:spacing w:before="30"/>
              <w:ind w:right="-15"/>
              <w:jc w:val="right"/>
              <w:rPr>
                <w:sz w:val="20"/>
                <w:szCs w:val="20"/>
                <w:highlight w:val="none"/>
              </w:rPr>
            </w:pPr>
            <w:r>
              <w:rPr>
                <w:w w:val="99"/>
                <w:sz w:val="20"/>
                <w:szCs w:val="20"/>
                <w:highlight w:val="none"/>
              </w:rPr>
              <w:t xml:space="preserve"> </w:t>
            </w:r>
          </w:p>
        </w:tc>
        <w:tc>
          <w:tcPr>
            <w:tcW w:w="3687" w:type="dxa"/>
          </w:tcPr>
          <w:p>
            <w:pPr>
              <w:pStyle w:val="16"/>
              <w:spacing w:before="30"/>
              <w:ind w:left="107"/>
              <w:rPr>
                <w:sz w:val="20"/>
                <w:szCs w:val="20"/>
                <w:highlight w:val="none"/>
              </w:rPr>
            </w:pPr>
            <w:r>
              <w:rPr>
                <w:sz w:val="20"/>
                <w:szCs w:val="20"/>
                <w:highlight w:val="none"/>
              </w:rPr>
              <w:t>十二、农林水支出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416" w:type="dxa"/>
          </w:tcPr>
          <w:p>
            <w:pPr>
              <w:pStyle w:val="16"/>
              <w:spacing w:before="30"/>
              <w:ind w:left="107"/>
              <w:rPr>
                <w:sz w:val="20"/>
                <w:szCs w:val="20"/>
                <w:highlight w:val="none"/>
              </w:rPr>
            </w:pPr>
            <w:r>
              <w:rPr>
                <w:w w:val="99"/>
                <w:sz w:val="20"/>
                <w:szCs w:val="20"/>
                <w:highlight w:val="none"/>
              </w:rPr>
              <w:t xml:space="preserve"> </w:t>
            </w:r>
          </w:p>
        </w:tc>
        <w:tc>
          <w:tcPr>
            <w:tcW w:w="980" w:type="dxa"/>
          </w:tcPr>
          <w:p>
            <w:pPr>
              <w:pStyle w:val="16"/>
              <w:spacing w:before="30"/>
              <w:ind w:right="-15"/>
              <w:jc w:val="right"/>
              <w:rPr>
                <w:sz w:val="20"/>
                <w:szCs w:val="20"/>
                <w:highlight w:val="none"/>
              </w:rPr>
            </w:pPr>
            <w:r>
              <w:rPr>
                <w:w w:val="99"/>
                <w:sz w:val="20"/>
                <w:szCs w:val="20"/>
                <w:highlight w:val="none"/>
              </w:rPr>
              <w:t xml:space="preserve"> </w:t>
            </w:r>
          </w:p>
        </w:tc>
        <w:tc>
          <w:tcPr>
            <w:tcW w:w="3687" w:type="dxa"/>
          </w:tcPr>
          <w:p>
            <w:pPr>
              <w:pStyle w:val="16"/>
              <w:spacing w:before="30"/>
              <w:ind w:left="107"/>
              <w:rPr>
                <w:sz w:val="20"/>
                <w:szCs w:val="20"/>
                <w:highlight w:val="none"/>
              </w:rPr>
            </w:pPr>
            <w:r>
              <w:rPr>
                <w:sz w:val="20"/>
                <w:szCs w:val="20"/>
                <w:highlight w:val="none"/>
              </w:rPr>
              <w:t>十三、交通运输支出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28"/>
              <w:ind w:left="107"/>
              <w:rPr>
                <w:sz w:val="20"/>
                <w:szCs w:val="20"/>
                <w:highlight w:val="none"/>
              </w:rPr>
            </w:pPr>
            <w:r>
              <w:rPr>
                <w:w w:val="99"/>
                <w:sz w:val="20"/>
                <w:szCs w:val="20"/>
                <w:highlight w:val="none"/>
              </w:rPr>
              <w:t xml:space="preserve"> </w:t>
            </w:r>
          </w:p>
        </w:tc>
        <w:tc>
          <w:tcPr>
            <w:tcW w:w="980" w:type="dxa"/>
          </w:tcPr>
          <w:p>
            <w:pPr>
              <w:pStyle w:val="16"/>
              <w:spacing w:before="28"/>
              <w:ind w:right="-15"/>
              <w:jc w:val="right"/>
              <w:rPr>
                <w:sz w:val="20"/>
                <w:szCs w:val="20"/>
                <w:highlight w:val="none"/>
              </w:rPr>
            </w:pPr>
            <w:r>
              <w:rPr>
                <w:w w:val="99"/>
                <w:sz w:val="20"/>
                <w:szCs w:val="20"/>
                <w:highlight w:val="none"/>
              </w:rPr>
              <w:t xml:space="preserve"> </w:t>
            </w:r>
          </w:p>
        </w:tc>
        <w:tc>
          <w:tcPr>
            <w:tcW w:w="3687" w:type="dxa"/>
          </w:tcPr>
          <w:p>
            <w:pPr>
              <w:pStyle w:val="16"/>
              <w:spacing w:before="28"/>
              <w:ind w:left="107"/>
              <w:rPr>
                <w:sz w:val="20"/>
                <w:szCs w:val="20"/>
                <w:highlight w:val="none"/>
              </w:rPr>
            </w:pPr>
            <w:r>
              <w:rPr>
                <w:sz w:val="20"/>
                <w:szCs w:val="20"/>
                <w:highlight w:val="none"/>
              </w:rPr>
              <w:t>十四、资源勘探工业信息等支出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28"/>
              <w:ind w:left="107"/>
              <w:rPr>
                <w:sz w:val="20"/>
                <w:szCs w:val="20"/>
                <w:highlight w:val="none"/>
              </w:rPr>
            </w:pPr>
            <w:r>
              <w:rPr>
                <w:w w:val="99"/>
                <w:sz w:val="20"/>
                <w:szCs w:val="20"/>
                <w:highlight w:val="none"/>
              </w:rPr>
              <w:t xml:space="preserve"> </w:t>
            </w:r>
          </w:p>
        </w:tc>
        <w:tc>
          <w:tcPr>
            <w:tcW w:w="980" w:type="dxa"/>
          </w:tcPr>
          <w:p>
            <w:pPr>
              <w:pStyle w:val="16"/>
              <w:spacing w:before="28"/>
              <w:ind w:right="-15"/>
              <w:jc w:val="right"/>
              <w:rPr>
                <w:sz w:val="20"/>
                <w:szCs w:val="20"/>
                <w:highlight w:val="none"/>
              </w:rPr>
            </w:pPr>
            <w:r>
              <w:rPr>
                <w:w w:val="99"/>
                <w:sz w:val="20"/>
                <w:szCs w:val="20"/>
                <w:highlight w:val="none"/>
              </w:rPr>
              <w:t xml:space="preserve"> </w:t>
            </w:r>
          </w:p>
        </w:tc>
        <w:tc>
          <w:tcPr>
            <w:tcW w:w="3687" w:type="dxa"/>
          </w:tcPr>
          <w:p>
            <w:pPr>
              <w:pStyle w:val="16"/>
              <w:spacing w:before="28"/>
              <w:ind w:left="107"/>
              <w:rPr>
                <w:sz w:val="20"/>
                <w:szCs w:val="20"/>
                <w:highlight w:val="none"/>
              </w:rPr>
            </w:pPr>
            <w:r>
              <w:rPr>
                <w:sz w:val="20"/>
                <w:szCs w:val="20"/>
                <w:highlight w:val="none"/>
              </w:rPr>
              <w:t>十五、商业服务业等支出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bl>
    <w:p>
      <w:pPr>
        <w:rPr>
          <w:rFonts w:ascii="Times New Roman"/>
          <w:sz w:val="20"/>
          <w:szCs w:val="20"/>
          <w:highlight w:val="none"/>
        </w:rPr>
        <w:sectPr>
          <w:pgSz w:w="16840" w:h="11910" w:orient="landscape"/>
          <w:pgMar w:top="1100" w:right="1320" w:bottom="280" w:left="1320" w:header="720" w:footer="720" w:gutter="0"/>
          <w:cols w:space="720" w:num="1"/>
        </w:sectPr>
      </w:pPr>
    </w:p>
    <w:p>
      <w:pPr>
        <w:pStyle w:val="2"/>
        <w:rPr>
          <w:rFonts w:ascii="Times New Roman"/>
          <w:sz w:val="20"/>
          <w:szCs w:val="20"/>
          <w:highlight w:val="none"/>
        </w:rPr>
      </w:pPr>
    </w:p>
    <w:p>
      <w:pPr>
        <w:pStyle w:val="2"/>
        <w:rPr>
          <w:rFonts w:ascii="Times New Roman"/>
          <w:sz w:val="20"/>
          <w:szCs w:val="20"/>
          <w:highlight w:val="none"/>
        </w:rPr>
      </w:pPr>
    </w:p>
    <w:p>
      <w:pPr>
        <w:pStyle w:val="2"/>
        <w:spacing w:before="1"/>
        <w:rPr>
          <w:rFonts w:ascii="Times New Roman"/>
          <w:sz w:val="20"/>
          <w:szCs w:val="20"/>
          <w:highlight w:val="none"/>
        </w:rPr>
      </w:pPr>
    </w:p>
    <w:tbl>
      <w:tblPr>
        <w:tblStyle w:val="8"/>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16"/>
        <w:gridCol w:w="980"/>
        <w:gridCol w:w="3687"/>
        <w:gridCol w:w="1133"/>
        <w:gridCol w:w="1560"/>
        <w:gridCol w:w="1561"/>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27"/>
              <w:ind w:left="107"/>
              <w:rPr>
                <w:sz w:val="20"/>
                <w:szCs w:val="20"/>
                <w:highlight w:val="none"/>
              </w:rPr>
            </w:pPr>
            <w:r>
              <w:rPr>
                <w:w w:val="99"/>
                <w:sz w:val="20"/>
                <w:szCs w:val="20"/>
                <w:highlight w:val="none"/>
              </w:rPr>
              <w:t xml:space="preserve"> </w:t>
            </w:r>
          </w:p>
        </w:tc>
        <w:tc>
          <w:tcPr>
            <w:tcW w:w="980" w:type="dxa"/>
          </w:tcPr>
          <w:p>
            <w:pPr>
              <w:pStyle w:val="16"/>
              <w:spacing w:before="27"/>
              <w:ind w:right="-15"/>
              <w:jc w:val="right"/>
              <w:rPr>
                <w:sz w:val="20"/>
                <w:szCs w:val="20"/>
                <w:highlight w:val="none"/>
              </w:rPr>
            </w:pPr>
            <w:r>
              <w:rPr>
                <w:w w:val="99"/>
                <w:sz w:val="20"/>
                <w:szCs w:val="20"/>
                <w:highlight w:val="none"/>
              </w:rPr>
              <w:t xml:space="preserve"> </w:t>
            </w:r>
          </w:p>
        </w:tc>
        <w:tc>
          <w:tcPr>
            <w:tcW w:w="3687" w:type="dxa"/>
          </w:tcPr>
          <w:p>
            <w:pPr>
              <w:pStyle w:val="16"/>
              <w:spacing w:before="27"/>
              <w:ind w:left="107"/>
              <w:rPr>
                <w:sz w:val="20"/>
                <w:szCs w:val="20"/>
                <w:highlight w:val="none"/>
              </w:rPr>
            </w:pPr>
            <w:r>
              <w:rPr>
                <w:sz w:val="20"/>
                <w:szCs w:val="20"/>
                <w:highlight w:val="none"/>
              </w:rPr>
              <w:t>十六、金融支出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27"/>
              <w:ind w:left="107"/>
              <w:rPr>
                <w:sz w:val="20"/>
                <w:szCs w:val="20"/>
                <w:highlight w:val="none"/>
              </w:rPr>
            </w:pPr>
            <w:r>
              <w:rPr>
                <w:w w:val="99"/>
                <w:sz w:val="20"/>
                <w:szCs w:val="20"/>
                <w:highlight w:val="none"/>
              </w:rPr>
              <w:t xml:space="preserve"> </w:t>
            </w:r>
          </w:p>
        </w:tc>
        <w:tc>
          <w:tcPr>
            <w:tcW w:w="980" w:type="dxa"/>
          </w:tcPr>
          <w:p>
            <w:pPr>
              <w:pStyle w:val="16"/>
              <w:spacing w:before="27"/>
              <w:ind w:right="-15"/>
              <w:jc w:val="right"/>
              <w:rPr>
                <w:sz w:val="20"/>
                <w:szCs w:val="20"/>
                <w:highlight w:val="none"/>
              </w:rPr>
            </w:pPr>
            <w:r>
              <w:rPr>
                <w:w w:val="99"/>
                <w:sz w:val="20"/>
                <w:szCs w:val="20"/>
                <w:highlight w:val="none"/>
              </w:rPr>
              <w:t xml:space="preserve"> </w:t>
            </w:r>
          </w:p>
        </w:tc>
        <w:tc>
          <w:tcPr>
            <w:tcW w:w="3687" w:type="dxa"/>
          </w:tcPr>
          <w:p>
            <w:pPr>
              <w:pStyle w:val="16"/>
              <w:spacing w:before="27"/>
              <w:ind w:left="107"/>
              <w:rPr>
                <w:sz w:val="20"/>
                <w:szCs w:val="20"/>
                <w:highlight w:val="none"/>
              </w:rPr>
            </w:pPr>
            <w:r>
              <w:rPr>
                <w:sz w:val="20"/>
                <w:szCs w:val="20"/>
                <w:highlight w:val="none"/>
              </w:rPr>
              <w:t>十七、援助其他地区支出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30"/>
              <w:ind w:left="107"/>
              <w:rPr>
                <w:sz w:val="20"/>
                <w:szCs w:val="20"/>
                <w:highlight w:val="none"/>
              </w:rPr>
            </w:pPr>
            <w:r>
              <w:rPr>
                <w:w w:val="99"/>
                <w:sz w:val="20"/>
                <w:szCs w:val="20"/>
                <w:highlight w:val="none"/>
              </w:rPr>
              <w:t xml:space="preserve"> </w:t>
            </w:r>
          </w:p>
        </w:tc>
        <w:tc>
          <w:tcPr>
            <w:tcW w:w="980" w:type="dxa"/>
          </w:tcPr>
          <w:p>
            <w:pPr>
              <w:pStyle w:val="16"/>
              <w:spacing w:before="30"/>
              <w:ind w:right="-15"/>
              <w:jc w:val="right"/>
              <w:rPr>
                <w:sz w:val="20"/>
                <w:szCs w:val="20"/>
                <w:highlight w:val="none"/>
              </w:rPr>
            </w:pPr>
            <w:r>
              <w:rPr>
                <w:w w:val="99"/>
                <w:sz w:val="20"/>
                <w:szCs w:val="20"/>
                <w:highlight w:val="none"/>
              </w:rPr>
              <w:t xml:space="preserve"> </w:t>
            </w:r>
          </w:p>
        </w:tc>
        <w:tc>
          <w:tcPr>
            <w:tcW w:w="3687" w:type="dxa"/>
          </w:tcPr>
          <w:p>
            <w:pPr>
              <w:pStyle w:val="16"/>
              <w:spacing w:before="30"/>
              <w:ind w:left="107"/>
              <w:rPr>
                <w:sz w:val="20"/>
                <w:szCs w:val="20"/>
                <w:highlight w:val="none"/>
              </w:rPr>
            </w:pPr>
            <w:r>
              <w:rPr>
                <w:sz w:val="20"/>
                <w:szCs w:val="20"/>
                <w:highlight w:val="none"/>
              </w:rPr>
              <w:t>十八、自然资源海洋气象等支出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30"/>
              <w:ind w:left="107"/>
              <w:rPr>
                <w:sz w:val="20"/>
                <w:szCs w:val="20"/>
                <w:highlight w:val="none"/>
              </w:rPr>
            </w:pPr>
            <w:r>
              <w:rPr>
                <w:w w:val="99"/>
                <w:sz w:val="20"/>
                <w:szCs w:val="20"/>
                <w:highlight w:val="none"/>
              </w:rPr>
              <w:t xml:space="preserve"> </w:t>
            </w:r>
          </w:p>
        </w:tc>
        <w:tc>
          <w:tcPr>
            <w:tcW w:w="980" w:type="dxa"/>
          </w:tcPr>
          <w:p>
            <w:pPr>
              <w:pStyle w:val="16"/>
              <w:spacing w:before="30"/>
              <w:ind w:right="-15"/>
              <w:jc w:val="right"/>
              <w:rPr>
                <w:sz w:val="20"/>
                <w:szCs w:val="20"/>
                <w:highlight w:val="none"/>
              </w:rPr>
            </w:pPr>
            <w:r>
              <w:rPr>
                <w:w w:val="99"/>
                <w:sz w:val="20"/>
                <w:szCs w:val="20"/>
                <w:highlight w:val="none"/>
              </w:rPr>
              <w:t xml:space="preserve"> </w:t>
            </w:r>
          </w:p>
        </w:tc>
        <w:tc>
          <w:tcPr>
            <w:tcW w:w="3687" w:type="dxa"/>
          </w:tcPr>
          <w:p>
            <w:pPr>
              <w:pStyle w:val="16"/>
              <w:spacing w:before="30"/>
              <w:ind w:left="107"/>
              <w:rPr>
                <w:sz w:val="20"/>
                <w:szCs w:val="20"/>
                <w:highlight w:val="none"/>
              </w:rPr>
            </w:pPr>
            <w:r>
              <w:rPr>
                <w:sz w:val="20"/>
                <w:szCs w:val="20"/>
                <w:highlight w:val="none"/>
              </w:rPr>
              <w:t>十九、住房保障支出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906.69</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906.69</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30"/>
              <w:ind w:left="107"/>
              <w:rPr>
                <w:sz w:val="20"/>
                <w:szCs w:val="20"/>
                <w:highlight w:val="none"/>
              </w:rPr>
            </w:pPr>
            <w:r>
              <w:rPr>
                <w:w w:val="99"/>
                <w:sz w:val="20"/>
                <w:szCs w:val="20"/>
                <w:highlight w:val="none"/>
              </w:rPr>
              <w:t xml:space="preserve"> </w:t>
            </w:r>
          </w:p>
        </w:tc>
        <w:tc>
          <w:tcPr>
            <w:tcW w:w="980" w:type="dxa"/>
          </w:tcPr>
          <w:p>
            <w:pPr>
              <w:pStyle w:val="16"/>
              <w:spacing w:before="30"/>
              <w:ind w:right="-15"/>
              <w:jc w:val="right"/>
              <w:rPr>
                <w:sz w:val="20"/>
                <w:szCs w:val="20"/>
                <w:highlight w:val="none"/>
              </w:rPr>
            </w:pPr>
            <w:r>
              <w:rPr>
                <w:w w:val="99"/>
                <w:sz w:val="20"/>
                <w:szCs w:val="20"/>
                <w:highlight w:val="none"/>
              </w:rPr>
              <w:t xml:space="preserve"> </w:t>
            </w:r>
          </w:p>
        </w:tc>
        <w:tc>
          <w:tcPr>
            <w:tcW w:w="3687" w:type="dxa"/>
          </w:tcPr>
          <w:p>
            <w:pPr>
              <w:pStyle w:val="16"/>
              <w:spacing w:before="30"/>
              <w:ind w:left="107"/>
              <w:rPr>
                <w:sz w:val="20"/>
                <w:szCs w:val="20"/>
                <w:highlight w:val="none"/>
              </w:rPr>
            </w:pPr>
            <w:r>
              <w:rPr>
                <w:sz w:val="20"/>
                <w:szCs w:val="20"/>
                <w:highlight w:val="none"/>
              </w:rPr>
              <w:t>二十、粮油物资储备支出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416" w:type="dxa"/>
          </w:tcPr>
          <w:p>
            <w:pPr>
              <w:pStyle w:val="16"/>
              <w:spacing w:before="0"/>
              <w:rPr>
                <w:rFonts w:ascii="Times New Roman"/>
                <w:sz w:val="20"/>
                <w:szCs w:val="20"/>
                <w:highlight w:val="none"/>
              </w:rPr>
            </w:pPr>
          </w:p>
        </w:tc>
        <w:tc>
          <w:tcPr>
            <w:tcW w:w="980" w:type="dxa"/>
          </w:tcPr>
          <w:p>
            <w:pPr>
              <w:pStyle w:val="16"/>
              <w:spacing w:before="0"/>
              <w:rPr>
                <w:rFonts w:ascii="Times New Roman"/>
                <w:sz w:val="20"/>
                <w:szCs w:val="20"/>
                <w:highlight w:val="none"/>
              </w:rPr>
            </w:pPr>
          </w:p>
        </w:tc>
        <w:tc>
          <w:tcPr>
            <w:tcW w:w="3687" w:type="dxa"/>
          </w:tcPr>
          <w:p>
            <w:pPr>
              <w:pStyle w:val="16"/>
              <w:spacing w:before="30"/>
              <w:ind w:left="107"/>
              <w:rPr>
                <w:sz w:val="20"/>
                <w:szCs w:val="20"/>
                <w:highlight w:val="none"/>
              </w:rPr>
            </w:pPr>
            <w:r>
              <w:rPr>
                <w:sz w:val="20"/>
                <w:szCs w:val="20"/>
                <w:highlight w:val="none"/>
              </w:rPr>
              <w:t>二十一、国有资本经营预算支出</w:t>
            </w:r>
          </w:p>
        </w:tc>
        <w:tc>
          <w:tcPr>
            <w:tcW w:w="1133"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30"/>
              <w:ind w:left="107"/>
              <w:rPr>
                <w:sz w:val="20"/>
                <w:szCs w:val="20"/>
                <w:highlight w:val="none"/>
              </w:rPr>
            </w:pPr>
            <w:r>
              <w:rPr>
                <w:w w:val="99"/>
                <w:sz w:val="20"/>
                <w:szCs w:val="20"/>
                <w:highlight w:val="none"/>
              </w:rPr>
              <w:t xml:space="preserve"> </w:t>
            </w:r>
          </w:p>
        </w:tc>
        <w:tc>
          <w:tcPr>
            <w:tcW w:w="980" w:type="dxa"/>
          </w:tcPr>
          <w:p>
            <w:pPr>
              <w:pStyle w:val="16"/>
              <w:spacing w:before="30"/>
              <w:ind w:right="-15"/>
              <w:jc w:val="right"/>
              <w:rPr>
                <w:sz w:val="20"/>
                <w:szCs w:val="20"/>
                <w:highlight w:val="none"/>
              </w:rPr>
            </w:pPr>
            <w:r>
              <w:rPr>
                <w:w w:val="99"/>
                <w:sz w:val="20"/>
                <w:szCs w:val="20"/>
                <w:highlight w:val="none"/>
              </w:rPr>
              <w:t xml:space="preserve"> </w:t>
            </w:r>
          </w:p>
        </w:tc>
        <w:tc>
          <w:tcPr>
            <w:tcW w:w="3687" w:type="dxa"/>
          </w:tcPr>
          <w:p>
            <w:pPr>
              <w:pStyle w:val="16"/>
              <w:spacing w:before="30"/>
              <w:ind w:left="107"/>
              <w:rPr>
                <w:sz w:val="20"/>
                <w:szCs w:val="20"/>
                <w:highlight w:val="none"/>
              </w:rPr>
            </w:pPr>
            <w:r>
              <w:rPr>
                <w:sz w:val="20"/>
                <w:szCs w:val="20"/>
                <w:highlight w:val="none"/>
              </w:rPr>
              <w:t>二十二、灾害防治及应急管理支出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30"/>
              <w:ind w:left="107"/>
              <w:rPr>
                <w:sz w:val="20"/>
                <w:szCs w:val="20"/>
                <w:highlight w:val="none"/>
              </w:rPr>
            </w:pPr>
            <w:r>
              <w:rPr>
                <w:w w:val="99"/>
                <w:sz w:val="20"/>
                <w:szCs w:val="20"/>
                <w:highlight w:val="none"/>
              </w:rPr>
              <w:t xml:space="preserve"> </w:t>
            </w:r>
          </w:p>
        </w:tc>
        <w:tc>
          <w:tcPr>
            <w:tcW w:w="980" w:type="dxa"/>
          </w:tcPr>
          <w:p>
            <w:pPr>
              <w:pStyle w:val="16"/>
              <w:spacing w:before="30"/>
              <w:ind w:right="-15"/>
              <w:jc w:val="right"/>
              <w:rPr>
                <w:sz w:val="20"/>
                <w:szCs w:val="20"/>
                <w:highlight w:val="none"/>
              </w:rPr>
            </w:pPr>
            <w:r>
              <w:rPr>
                <w:w w:val="99"/>
                <w:sz w:val="20"/>
                <w:szCs w:val="20"/>
                <w:highlight w:val="none"/>
              </w:rPr>
              <w:t xml:space="preserve"> </w:t>
            </w:r>
          </w:p>
        </w:tc>
        <w:tc>
          <w:tcPr>
            <w:tcW w:w="3687" w:type="dxa"/>
          </w:tcPr>
          <w:p>
            <w:pPr>
              <w:pStyle w:val="16"/>
              <w:spacing w:before="30"/>
              <w:ind w:left="107"/>
              <w:rPr>
                <w:sz w:val="20"/>
                <w:szCs w:val="20"/>
                <w:highlight w:val="none"/>
              </w:rPr>
            </w:pPr>
            <w:r>
              <w:rPr>
                <w:sz w:val="20"/>
                <w:szCs w:val="20"/>
                <w:highlight w:val="none"/>
              </w:rPr>
              <w:t>二十三、其他支出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30"/>
              <w:ind w:left="107"/>
              <w:rPr>
                <w:sz w:val="20"/>
                <w:szCs w:val="20"/>
                <w:highlight w:val="none"/>
              </w:rPr>
            </w:pPr>
            <w:r>
              <w:rPr>
                <w:w w:val="99"/>
                <w:sz w:val="20"/>
                <w:szCs w:val="20"/>
                <w:highlight w:val="none"/>
              </w:rPr>
              <w:t xml:space="preserve"> </w:t>
            </w:r>
          </w:p>
        </w:tc>
        <w:tc>
          <w:tcPr>
            <w:tcW w:w="980" w:type="dxa"/>
          </w:tcPr>
          <w:p>
            <w:pPr>
              <w:pStyle w:val="16"/>
              <w:spacing w:before="30"/>
              <w:ind w:right="-15"/>
              <w:jc w:val="right"/>
              <w:rPr>
                <w:sz w:val="20"/>
                <w:szCs w:val="20"/>
                <w:highlight w:val="none"/>
              </w:rPr>
            </w:pPr>
            <w:r>
              <w:rPr>
                <w:w w:val="99"/>
                <w:sz w:val="20"/>
                <w:szCs w:val="20"/>
                <w:highlight w:val="none"/>
              </w:rPr>
              <w:t xml:space="preserve"> </w:t>
            </w:r>
          </w:p>
        </w:tc>
        <w:tc>
          <w:tcPr>
            <w:tcW w:w="3687" w:type="dxa"/>
          </w:tcPr>
          <w:p>
            <w:pPr>
              <w:pStyle w:val="16"/>
              <w:spacing w:before="30"/>
              <w:ind w:left="107"/>
              <w:rPr>
                <w:sz w:val="20"/>
                <w:szCs w:val="20"/>
                <w:highlight w:val="none"/>
              </w:rPr>
            </w:pPr>
            <w:r>
              <w:rPr>
                <w:sz w:val="20"/>
                <w:szCs w:val="20"/>
                <w:highlight w:val="none"/>
              </w:rPr>
              <w:t>二十四、债务还本支出</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416" w:type="dxa"/>
          </w:tcPr>
          <w:p>
            <w:pPr>
              <w:pStyle w:val="16"/>
              <w:spacing w:before="0"/>
              <w:rPr>
                <w:rFonts w:ascii="Times New Roman"/>
                <w:sz w:val="20"/>
                <w:szCs w:val="20"/>
                <w:highlight w:val="none"/>
              </w:rPr>
            </w:pPr>
          </w:p>
        </w:tc>
        <w:tc>
          <w:tcPr>
            <w:tcW w:w="980" w:type="dxa"/>
          </w:tcPr>
          <w:p>
            <w:pPr>
              <w:pStyle w:val="16"/>
              <w:spacing w:before="0"/>
              <w:rPr>
                <w:rFonts w:ascii="Times New Roman"/>
                <w:sz w:val="20"/>
                <w:szCs w:val="20"/>
                <w:highlight w:val="none"/>
              </w:rPr>
            </w:pPr>
          </w:p>
        </w:tc>
        <w:tc>
          <w:tcPr>
            <w:tcW w:w="3687" w:type="dxa"/>
          </w:tcPr>
          <w:p>
            <w:pPr>
              <w:pStyle w:val="16"/>
              <w:spacing w:before="30"/>
              <w:ind w:left="107"/>
              <w:rPr>
                <w:sz w:val="20"/>
                <w:szCs w:val="20"/>
                <w:highlight w:val="none"/>
              </w:rPr>
            </w:pPr>
            <w:r>
              <w:rPr>
                <w:sz w:val="20"/>
                <w:szCs w:val="20"/>
                <w:highlight w:val="none"/>
              </w:rPr>
              <w:t>二十五、债务付息支出</w:t>
            </w:r>
          </w:p>
        </w:tc>
        <w:tc>
          <w:tcPr>
            <w:tcW w:w="1133"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0"/>
              <w:rPr>
                <w:rFonts w:ascii="Times New Roman"/>
                <w:sz w:val="20"/>
                <w:szCs w:val="20"/>
                <w:highlight w:val="none"/>
              </w:rPr>
            </w:pPr>
          </w:p>
        </w:tc>
        <w:tc>
          <w:tcPr>
            <w:tcW w:w="980" w:type="dxa"/>
          </w:tcPr>
          <w:p>
            <w:pPr>
              <w:pStyle w:val="16"/>
              <w:spacing w:before="0"/>
              <w:rPr>
                <w:rFonts w:ascii="Times New Roman"/>
                <w:sz w:val="20"/>
                <w:szCs w:val="20"/>
                <w:highlight w:val="none"/>
              </w:rPr>
            </w:pPr>
          </w:p>
        </w:tc>
        <w:tc>
          <w:tcPr>
            <w:tcW w:w="3687" w:type="dxa"/>
          </w:tcPr>
          <w:p>
            <w:pPr>
              <w:pStyle w:val="16"/>
              <w:spacing w:before="28"/>
              <w:ind w:left="107"/>
              <w:rPr>
                <w:sz w:val="20"/>
                <w:szCs w:val="20"/>
                <w:highlight w:val="none"/>
              </w:rPr>
            </w:pPr>
            <w:r>
              <w:rPr>
                <w:sz w:val="20"/>
                <w:szCs w:val="20"/>
                <w:highlight w:val="none"/>
              </w:rPr>
              <w:t>二十六、抗疫特别国债安排的支出</w:t>
            </w:r>
          </w:p>
        </w:tc>
        <w:tc>
          <w:tcPr>
            <w:tcW w:w="1133"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561"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28"/>
              <w:ind w:left="1104"/>
              <w:rPr>
                <w:b/>
                <w:sz w:val="20"/>
                <w:szCs w:val="20"/>
                <w:highlight w:val="none"/>
              </w:rPr>
            </w:pPr>
            <w:r>
              <w:rPr>
                <w:b/>
                <w:sz w:val="20"/>
                <w:szCs w:val="20"/>
                <w:highlight w:val="none"/>
              </w:rPr>
              <w:t>本年收入合计</w:t>
            </w:r>
          </w:p>
        </w:tc>
        <w:tc>
          <w:tcPr>
            <w:tcW w:w="98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4,713.80</w:t>
            </w:r>
          </w:p>
        </w:tc>
        <w:tc>
          <w:tcPr>
            <w:tcW w:w="3687" w:type="dxa"/>
          </w:tcPr>
          <w:p>
            <w:pPr>
              <w:pStyle w:val="16"/>
              <w:spacing w:before="28"/>
              <w:ind w:left="1217" w:right="1215"/>
              <w:jc w:val="center"/>
              <w:rPr>
                <w:b/>
                <w:sz w:val="20"/>
                <w:szCs w:val="20"/>
                <w:highlight w:val="none"/>
              </w:rPr>
            </w:pPr>
            <w:r>
              <w:rPr>
                <w:b/>
                <w:sz w:val="20"/>
                <w:szCs w:val="20"/>
                <w:highlight w:val="none"/>
              </w:rPr>
              <w:t>本年支出合计</w:t>
            </w:r>
          </w:p>
        </w:tc>
        <w:tc>
          <w:tcPr>
            <w:tcW w:w="1133" w:type="dxa"/>
            <w:vAlign w:val="center"/>
          </w:tcPr>
          <w:p>
            <w:pPr>
              <w:keepNext w:val="0"/>
              <w:keepLines w:val="0"/>
              <w:widowControl/>
              <w:suppressLineNumbers w:val="0"/>
              <w:jc w:val="right"/>
              <w:textAlignment w:val="center"/>
              <w:rPr>
                <w:b/>
                <w:sz w:val="20"/>
                <w:szCs w:val="20"/>
                <w:highlight w:val="none"/>
              </w:rPr>
            </w:pPr>
            <w:r>
              <w:rPr>
                <w:rFonts w:hint="eastAsia" w:ascii="宋体" w:hAnsi="宋体" w:eastAsia="宋体" w:cs="宋体"/>
                <w:i w:val="0"/>
                <w:color w:val="000000"/>
                <w:kern w:val="0"/>
                <w:sz w:val="20"/>
                <w:szCs w:val="20"/>
                <w:highlight w:val="none"/>
                <w:u w:val="none"/>
                <w:lang w:val="en-US" w:eastAsia="zh-CN" w:bidi="ar"/>
              </w:rPr>
              <w:t>4,530.02</w:t>
            </w:r>
          </w:p>
        </w:tc>
        <w:tc>
          <w:tcPr>
            <w:tcW w:w="1560" w:type="dxa"/>
            <w:vAlign w:val="center"/>
          </w:tcPr>
          <w:p>
            <w:pPr>
              <w:keepNext w:val="0"/>
              <w:keepLines w:val="0"/>
              <w:widowControl/>
              <w:suppressLineNumbers w:val="0"/>
              <w:jc w:val="right"/>
              <w:textAlignment w:val="center"/>
              <w:rPr>
                <w:b/>
                <w:sz w:val="20"/>
                <w:szCs w:val="20"/>
                <w:highlight w:val="none"/>
              </w:rPr>
            </w:pPr>
            <w:r>
              <w:rPr>
                <w:rFonts w:hint="eastAsia" w:ascii="宋体" w:hAnsi="宋体" w:eastAsia="宋体" w:cs="宋体"/>
                <w:i w:val="0"/>
                <w:color w:val="000000"/>
                <w:kern w:val="0"/>
                <w:sz w:val="20"/>
                <w:szCs w:val="20"/>
                <w:highlight w:val="none"/>
                <w:u w:val="none"/>
                <w:lang w:val="en-US" w:eastAsia="zh-CN" w:bidi="ar"/>
              </w:rPr>
              <w:t>4,530.02</w:t>
            </w:r>
          </w:p>
        </w:tc>
        <w:tc>
          <w:tcPr>
            <w:tcW w:w="1561" w:type="dxa"/>
            <w:vAlign w:val="center"/>
          </w:tcPr>
          <w:p>
            <w:pPr>
              <w:keepNext w:val="0"/>
              <w:keepLines w:val="0"/>
              <w:widowControl/>
              <w:suppressLineNumbers w:val="0"/>
              <w:jc w:val="right"/>
              <w:textAlignment w:val="center"/>
              <w:rPr>
                <w:b/>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28"/>
              <w:ind w:left="107"/>
              <w:rPr>
                <w:sz w:val="20"/>
                <w:szCs w:val="20"/>
                <w:highlight w:val="none"/>
              </w:rPr>
            </w:pPr>
            <w:r>
              <w:rPr>
                <w:sz w:val="20"/>
                <w:szCs w:val="20"/>
                <w:highlight w:val="none"/>
              </w:rPr>
              <w:t>年初财政拨款结转和结余</w:t>
            </w:r>
          </w:p>
        </w:tc>
        <w:tc>
          <w:tcPr>
            <w:tcW w:w="98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184.52</w:t>
            </w:r>
          </w:p>
        </w:tc>
        <w:tc>
          <w:tcPr>
            <w:tcW w:w="3687" w:type="dxa"/>
          </w:tcPr>
          <w:p>
            <w:pPr>
              <w:pStyle w:val="16"/>
              <w:spacing w:before="28"/>
              <w:ind w:left="107"/>
              <w:rPr>
                <w:sz w:val="20"/>
                <w:szCs w:val="20"/>
                <w:highlight w:val="none"/>
              </w:rPr>
            </w:pPr>
            <w:r>
              <w:rPr>
                <w:sz w:val="20"/>
                <w:szCs w:val="20"/>
                <w:highlight w:val="none"/>
              </w:rPr>
              <w:t>年末财政拨款结转和结余</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368.31</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368.31</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416" w:type="dxa"/>
          </w:tcPr>
          <w:p>
            <w:pPr>
              <w:pStyle w:val="16"/>
              <w:spacing w:before="28"/>
              <w:ind w:left="107"/>
              <w:rPr>
                <w:sz w:val="20"/>
                <w:szCs w:val="20"/>
                <w:highlight w:val="none"/>
              </w:rPr>
            </w:pPr>
            <w:r>
              <w:rPr>
                <w:sz w:val="20"/>
                <w:szCs w:val="20"/>
                <w:highlight w:val="none"/>
              </w:rPr>
              <w:t>一、一般公共预算财政拨款</w:t>
            </w:r>
          </w:p>
        </w:tc>
        <w:tc>
          <w:tcPr>
            <w:tcW w:w="98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184.52</w:t>
            </w:r>
          </w:p>
        </w:tc>
        <w:tc>
          <w:tcPr>
            <w:tcW w:w="3687" w:type="dxa"/>
          </w:tcPr>
          <w:p>
            <w:pPr>
              <w:pStyle w:val="16"/>
              <w:spacing w:before="28"/>
              <w:ind w:left="107"/>
              <w:rPr>
                <w:sz w:val="20"/>
                <w:szCs w:val="20"/>
                <w:highlight w:val="none"/>
              </w:rPr>
            </w:pPr>
            <w:r>
              <w:rPr>
                <w:w w:val="99"/>
                <w:sz w:val="20"/>
                <w:szCs w:val="20"/>
                <w:highlight w:val="none"/>
              </w:rPr>
              <w:t xml:space="preserve"> </w:t>
            </w:r>
          </w:p>
        </w:tc>
        <w:tc>
          <w:tcPr>
            <w:tcW w:w="1133" w:type="dxa"/>
            <w:vAlign w:val="center"/>
          </w:tcPr>
          <w:p>
            <w:pPr>
              <w:jc w:val="right"/>
              <w:rPr>
                <w:sz w:val="20"/>
                <w:szCs w:val="20"/>
                <w:highlight w:val="none"/>
              </w:rPr>
            </w:pPr>
          </w:p>
        </w:tc>
        <w:tc>
          <w:tcPr>
            <w:tcW w:w="1560" w:type="dxa"/>
            <w:vAlign w:val="center"/>
          </w:tcPr>
          <w:p>
            <w:pPr>
              <w:jc w:val="right"/>
              <w:rPr>
                <w:sz w:val="20"/>
                <w:szCs w:val="20"/>
                <w:highlight w:val="none"/>
              </w:rPr>
            </w:pPr>
          </w:p>
        </w:tc>
        <w:tc>
          <w:tcPr>
            <w:tcW w:w="1561" w:type="dxa"/>
            <w:vAlign w:val="center"/>
          </w:tcPr>
          <w:p>
            <w:pPr>
              <w:jc w:val="right"/>
              <w:rPr>
                <w:sz w:val="20"/>
                <w:szCs w:val="20"/>
                <w:highlight w:val="none"/>
              </w:rPr>
            </w:pPr>
          </w:p>
        </w:tc>
        <w:tc>
          <w:tcPr>
            <w:tcW w:w="1625" w:type="dxa"/>
            <w:vAlign w:val="center"/>
          </w:tcPr>
          <w:p>
            <w:pPr>
              <w:jc w:val="right"/>
              <w:rPr>
                <w:rFonts w:ascii="Times New Roman"/>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30"/>
              <w:ind w:left="107"/>
              <w:rPr>
                <w:sz w:val="20"/>
                <w:szCs w:val="20"/>
                <w:highlight w:val="none"/>
              </w:rPr>
            </w:pPr>
            <w:r>
              <w:rPr>
                <w:sz w:val="20"/>
                <w:szCs w:val="20"/>
                <w:highlight w:val="none"/>
              </w:rPr>
              <w:t>二、政府性基金预算财政拨款</w:t>
            </w:r>
          </w:p>
        </w:tc>
        <w:tc>
          <w:tcPr>
            <w:tcW w:w="98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687" w:type="dxa"/>
          </w:tcPr>
          <w:p>
            <w:pPr>
              <w:pStyle w:val="16"/>
              <w:spacing w:before="30"/>
              <w:ind w:left="107"/>
              <w:rPr>
                <w:sz w:val="20"/>
                <w:szCs w:val="20"/>
                <w:highlight w:val="none"/>
              </w:rPr>
            </w:pPr>
            <w:r>
              <w:rPr>
                <w:w w:val="99"/>
                <w:sz w:val="20"/>
                <w:szCs w:val="20"/>
                <w:highlight w:val="none"/>
              </w:rPr>
              <w:t xml:space="preserve"> </w:t>
            </w:r>
          </w:p>
        </w:tc>
        <w:tc>
          <w:tcPr>
            <w:tcW w:w="1133" w:type="dxa"/>
            <w:vAlign w:val="center"/>
          </w:tcPr>
          <w:p>
            <w:pPr>
              <w:jc w:val="right"/>
              <w:rPr>
                <w:sz w:val="20"/>
                <w:szCs w:val="20"/>
                <w:highlight w:val="none"/>
              </w:rPr>
            </w:pPr>
          </w:p>
        </w:tc>
        <w:tc>
          <w:tcPr>
            <w:tcW w:w="1560" w:type="dxa"/>
            <w:vAlign w:val="center"/>
          </w:tcPr>
          <w:p>
            <w:pPr>
              <w:jc w:val="right"/>
              <w:rPr>
                <w:sz w:val="20"/>
                <w:szCs w:val="20"/>
                <w:highlight w:val="none"/>
              </w:rPr>
            </w:pPr>
          </w:p>
        </w:tc>
        <w:tc>
          <w:tcPr>
            <w:tcW w:w="1561" w:type="dxa"/>
            <w:vAlign w:val="center"/>
          </w:tcPr>
          <w:p>
            <w:pPr>
              <w:jc w:val="right"/>
              <w:rPr>
                <w:sz w:val="20"/>
                <w:szCs w:val="20"/>
                <w:highlight w:val="none"/>
              </w:rPr>
            </w:pPr>
          </w:p>
        </w:tc>
        <w:tc>
          <w:tcPr>
            <w:tcW w:w="1625" w:type="dxa"/>
            <w:vAlign w:val="center"/>
          </w:tcPr>
          <w:p>
            <w:pPr>
              <w:jc w:val="right"/>
              <w:rPr>
                <w:rFonts w:ascii="Times New Roman"/>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30"/>
              <w:ind w:left="107"/>
              <w:rPr>
                <w:sz w:val="20"/>
                <w:szCs w:val="20"/>
                <w:highlight w:val="none"/>
              </w:rPr>
            </w:pPr>
            <w:r>
              <w:rPr>
                <w:sz w:val="20"/>
                <w:szCs w:val="20"/>
                <w:highlight w:val="none"/>
              </w:rPr>
              <w:t>三、国有资本经营预算财政拨款</w:t>
            </w:r>
          </w:p>
        </w:tc>
        <w:tc>
          <w:tcPr>
            <w:tcW w:w="98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687" w:type="dxa"/>
          </w:tcPr>
          <w:p>
            <w:pPr>
              <w:pStyle w:val="16"/>
              <w:spacing w:before="30"/>
              <w:ind w:left="107"/>
              <w:rPr>
                <w:sz w:val="20"/>
                <w:szCs w:val="20"/>
                <w:highlight w:val="none"/>
              </w:rPr>
            </w:pPr>
            <w:r>
              <w:rPr>
                <w:w w:val="99"/>
                <w:sz w:val="20"/>
                <w:szCs w:val="20"/>
                <w:highlight w:val="none"/>
              </w:rPr>
              <w:t xml:space="preserve"> </w:t>
            </w:r>
          </w:p>
        </w:tc>
        <w:tc>
          <w:tcPr>
            <w:tcW w:w="1133" w:type="dxa"/>
            <w:vAlign w:val="center"/>
          </w:tcPr>
          <w:p>
            <w:pPr>
              <w:jc w:val="right"/>
              <w:rPr>
                <w:sz w:val="20"/>
                <w:szCs w:val="20"/>
                <w:highlight w:val="none"/>
              </w:rPr>
            </w:pPr>
          </w:p>
        </w:tc>
        <w:tc>
          <w:tcPr>
            <w:tcW w:w="1560" w:type="dxa"/>
            <w:vAlign w:val="center"/>
          </w:tcPr>
          <w:p>
            <w:pPr>
              <w:jc w:val="right"/>
              <w:rPr>
                <w:sz w:val="20"/>
                <w:szCs w:val="20"/>
                <w:highlight w:val="none"/>
              </w:rPr>
            </w:pPr>
          </w:p>
        </w:tc>
        <w:tc>
          <w:tcPr>
            <w:tcW w:w="1561" w:type="dxa"/>
            <w:vAlign w:val="center"/>
          </w:tcPr>
          <w:p>
            <w:pPr>
              <w:jc w:val="right"/>
              <w:rPr>
                <w:sz w:val="20"/>
                <w:szCs w:val="20"/>
                <w:highlight w:val="none"/>
              </w:rPr>
            </w:pPr>
          </w:p>
        </w:tc>
        <w:tc>
          <w:tcPr>
            <w:tcW w:w="1625" w:type="dxa"/>
            <w:vAlign w:val="center"/>
          </w:tcPr>
          <w:p>
            <w:pPr>
              <w:jc w:val="right"/>
              <w:rPr>
                <w:rFonts w:ascii="Times New Roman"/>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416" w:type="dxa"/>
          </w:tcPr>
          <w:p>
            <w:pPr>
              <w:pStyle w:val="16"/>
              <w:spacing w:before="30"/>
              <w:ind w:left="12"/>
              <w:jc w:val="center"/>
              <w:rPr>
                <w:b/>
                <w:sz w:val="20"/>
                <w:szCs w:val="20"/>
                <w:highlight w:val="none"/>
              </w:rPr>
            </w:pPr>
            <w:r>
              <w:rPr>
                <w:b/>
                <w:sz w:val="20"/>
                <w:szCs w:val="20"/>
                <w:highlight w:val="none"/>
              </w:rPr>
              <w:t>总计</w:t>
            </w:r>
          </w:p>
        </w:tc>
        <w:tc>
          <w:tcPr>
            <w:tcW w:w="98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4,898.32</w:t>
            </w:r>
          </w:p>
        </w:tc>
        <w:tc>
          <w:tcPr>
            <w:tcW w:w="3687" w:type="dxa"/>
          </w:tcPr>
          <w:p>
            <w:pPr>
              <w:pStyle w:val="16"/>
              <w:spacing w:before="30"/>
              <w:ind w:left="1217" w:right="1210"/>
              <w:jc w:val="center"/>
              <w:rPr>
                <w:b/>
                <w:sz w:val="20"/>
                <w:szCs w:val="20"/>
                <w:highlight w:val="none"/>
              </w:rPr>
            </w:pPr>
            <w:r>
              <w:rPr>
                <w:b/>
                <w:sz w:val="20"/>
                <w:szCs w:val="20"/>
                <w:highlight w:val="none"/>
              </w:rPr>
              <w:t>总计</w:t>
            </w:r>
          </w:p>
        </w:tc>
        <w:tc>
          <w:tcPr>
            <w:tcW w:w="113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4,898.32</w:t>
            </w:r>
          </w:p>
        </w:tc>
        <w:tc>
          <w:tcPr>
            <w:tcW w:w="15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4,898.32</w:t>
            </w:r>
          </w:p>
        </w:tc>
        <w:tc>
          <w:tcPr>
            <w:tcW w:w="15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25"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bl>
    <w:p>
      <w:pPr>
        <w:rPr>
          <w:rFonts w:ascii="Times New Roman"/>
          <w:sz w:val="18"/>
          <w:highlight w:val="none"/>
        </w:rPr>
        <w:sectPr>
          <w:pgSz w:w="16840" w:h="11910" w:orient="landscape"/>
          <w:pgMar w:top="1100" w:right="1320" w:bottom="280" w:left="1320" w:header="720" w:footer="720" w:gutter="0"/>
          <w:cols w:space="720" w:num="1"/>
        </w:sectPr>
      </w:pPr>
    </w:p>
    <w:p>
      <w:pPr>
        <w:pStyle w:val="2"/>
        <w:rPr>
          <w:rFonts w:ascii="Times New Roman"/>
          <w:sz w:val="20"/>
          <w:highlight w:val="none"/>
        </w:rPr>
      </w:pPr>
    </w:p>
    <w:p>
      <w:pPr>
        <w:pStyle w:val="2"/>
        <w:spacing w:before="5"/>
        <w:rPr>
          <w:rFonts w:ascii="Times New Roman"/>
          <w:sz w:val="26"/>
          <w:highlight w:val="none"/>
        </w:rPr>
      </w:pPr>
    </w:p>
    <w:p>
      <w:pPr>
        <w:pStyle w:val="12"/>
        <w:spacing w:before="51"/>
        <w:ind w:left="2"/>
        <w:rPr>
          <w:highlight w:val="none"/>
        </w:rPr>
      </w:pPr>
      <w:r>
        <w:rPr>
          <w:highlight w:val="none"/>
        </w:rPr>
        <w:t>财政拨款支出决算表（功能科目）</w:t>
      </w:r>
    </w:p>
    <w:p>
      <w:pPr>
        <w:pStyle w:val="2"/>
        <w:spacing w:before="9"/>
        <w:rPr>
          <w:sz w:val="29"/>
          <w:highlight w:val="none"/>
        </w:rPr>
      </w:pPr>
    </w:p>
    <w:p>
      <w:pPr>
        <w:spacing w:before="77"/>
        <w:ind w:right="225"/>
        <w:jc w:val="right"/>
        <w:rPr>
          <w:sz w:val="20"/>
          <w:highlight w:val="none"/>
        </w:rPr>
      </w:pPr>
      <w:r>
        <w:rPr>
          <w:spacing w:val="-18"/>
          <w:sz w:val="20"/>
          <w:highlight w:val="none"/>
        </w:rPr>
        <w:t xml:space="preserve">公开 </w:t>
      </w:r>
      <w:r>
        <w:rPr>
          <w:rFonts w:ascii="Times New Roman" w:eastAsia="Times New Roman"/>
          <w:sz w:val="20"/>
          <w:highlight w:val="none"/>
        </w:rPr>
        <w:t xml:space="preserve">05 </w:t>
      </w:r>
      <w:r>
        <w:rPr>
          <w:sz w:val="20"/>
          <w:highlight w:val="none"/>
        </w:rPr>
        <w:t>表</w:t>
      </w:r>
    </w:p>
    <w:p>
      <w:pPr>
        <w:pStyle w:val="2"/>
        <w:spacing w:before="9"/>
        <w:rPr>
          <w:sz w:val="16"/>
          <w:highlight w:val="none"/>
        </w:rPr>
      </w:pPr>
    </w:p>
    <w:p>
      <w:pPr>
        <w:tabs>
          <w:tab w:val="left" w:pos="12345"/>
        </w:tabs>
        <w:spacing w:after="33"/>
        <w:ind w:right="226"/>
        <w:jc w:val="right"/>
        <w:rPr>
          <w:sz w:val="20"/>
          <w:highlight w:val="none"/>
        </w:rPr>
      </w:pPr>
      <w:r>
        <w:rPr>
          <w:sz w:val="20"/>
          <w:highlight w:val="none"/>
        </w:rPr>
        <w:t>部门名称：</w:t>
      </w:r>
      <w:r>
        <w:rPr>
          <w:rFonts w:hint="eastAsia" w:ascii="Times New Roman"/>
          <w:sz w:val="20"/>
          <w:highlight w:val="none"/>
          <w:lang w:eastAsia="zh-CN"/>
        </w:rPr>
        <w:t>连云港市海州区人民检察院</w:t>
      </w:r>
      <w:r>
        <w:rPr>
          <w:rFonts w:ascii="Times New Roman" w:eastAsia="Times New Roman"/>
          <w:sz w:val="20"/>
          <w:highlight w:val="none"/>
        </w:rPr>
        <w:tab/>
      </w:r>
      <w:r>
        <w:rPr>
          <w:w w:val="95"/>
          <w:sz w:val="20"/>
          <w:highlight w:val="none"/>
        </w:rPr>
        <w:t>金额单位：万元</w:t>
      </w:r>
    </w:p>
    <w:tbl>
      <w:tblPr>
        <w:tblStyle w:val="8"/>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84"/>
        <w:gridCol w:w="2062"/>
        <w:gridCol w:w="2873"/>
        <w:gridCol w:w="2061"/>
        <w:gridCol w:w="3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746" w:type="dxa"/>
            <w:gridSpan w:val="2"/>
          </w:tcPr>
          <w:p>
            <w:pPr>
              <w:pStyle w:val="16"/>
              <w:tabs>
                <w:tab w:val="left" w:pos="612"/>
              </w:tabs>
              <w:spacing w:before="30"/>
              <w:ind w:left="10"/>
              <w:jc w:val="center"/>
              <w:rPr>
                <w:sz w:val="20"/>
                <w:szCs w:val="20"/>
                <w:highlight w:val="none"/>
              </w:rPr>
            </w:pPr>
            <w:r>
              <w:rPr>
                <w:sz w:val="20"/>
                <w:szCs w:val="20"/>
                <w:highlight w:val="none"/>
              </w:rPr>
              <w:t>项</w:t>
            </w:r>
            <w:r>
              <w:rPr>
                <w:sz w:val="20"/>
                <w:szCs w:val="20"/>
                <w:highlight w:val="none"/>
              </w:rPr>
              <w:tab/>
            </w:r>
            <w:r>
              <w:rPr>
                <w:sz w:val="20"/>
                <w:szCs w:val="20"/>
                <w:highlight w:val="none"/>
              </w:rPr>
              <w:t>目</w:t>
            </w:r>
          </w:p>
        </w:tc>
        <w:tc>
          <w:tcPr>
            <w:tcW w:w="2873" w:type="dxa"/>
            <w:vMerge w:val="restart"/>
          </w:tcPr>
          <w:p>
            <w:pPr>
              <w:pStyle w:val="16"/>
              <w:spacing w:before="10"/>
              <w:rPr>
                <w:sz w:val="20"/>
                <w:szCs w:val="20"/>
                <w:highlight w:val="none"/>
              </w:rPr>
            </w:pPr>
          </w:p>
          <w:p>
            <w:pPr>
              <w:pStyle w:val="16"/>
              <w:spacing w:before="0"/>
              <w:ind w:left="835"/>
              <w:rPr>
                <w:sz w:val="20"/>
                <w:szCs w:val="20"/>
                <w:highlight w:val="none"/>
              </w:rPr>
            </w:pPr>
            <w:r>
              <w:rPr>
                <w:sz w:val="20"/>
                <w:szCs w:val="20"/>
                <w:highlight w:val="none"/>
              </w:rPr>
              <w:t>本年支出合计</w:t>
            </w:r>
          </w:p>
        </w:tc>
        <w:tc>
          <w:tcPr>
            <w:tcW w:w="2061" w:type="dxa"/>
            <w:vMerge w:val="restart"/>
          </w:tcPr>
          <w:p>
            <w:pPr>
              <w:pStyle w:val="16"/>
              <w:spacing w:before="10"/>
              <w:rPr>
                <w:sz w:val="20"/>
                <w:szCs w:val="20"/>
                <w:highlight w:val="none"/>
              </w:rPr>
            </w:pPr>
          </w:p>
          <w:p>
            <w:pPr>
              <w:pStyle w:val="16"/>
              <w:spacing w:before="0"/>
              <w:ind w:left="631"/>
              <w:rPr>
                <w:sz w:val="20"/>
                <w:szCs w:val="20"/>
                <w:highlight w:val="none"/>
              </w:rPr>
            </w:pPr>
            <w:r>
              <w:rPr>
                <w:sz w:val="20"/>
                <w:szCs w:val="20"/>
                <w:highlight w:val="none"/>
              </w:rPr>
              <w:t>基本支出</w:t>
            </w:r>
          </w:p>
        </w:tc>
        <w:tc>
          <w:tcPr>
            <w:tcW w:w="3278" w:type="dxa"/>
            <w:vMerge w:val="restart"/>
          </w:tcPr>
          <w:p>
            <w:pPr>
              <w:pStyle w:val="16"/>
              <w:spacing w:before="10"/>
              <w:rPr>
                <w:sz w:val="20"/>
                <w:szCs w:val="20"/>
                <w:highlight w:val="none"/>
              </w:rPr>
            </w:pPr>
          </w:p>
          <w:p>
            <w:pPr>
              <w:pStyle w:val="16"/>
              <w:spacing w:before="0"/>
              <w:ind w:left="1218" w:right="1209"/>
              <w:jc w:val="center"/>
              <w:rPr>
                <w:sz w:val="20"/>
                <w:szCs w:val="20"/>
                <w:highlight w:val="none"/>
              </w:rPr>
            </w:pPr>
            <w:r>
              <w:rPr>
                <w:sz w:val="20"/>
                <w:szCs w:val="20"/>
                <w:highlight w:val="none"/>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3684" w:type="dxa"/>
          </w:tcPr>
          <w:p>
            <w:pPr>
              <w:pStyle w:val="16"/>
              <w:spacing w:before="9"/>
              <w:rPr>
                <w:sz w:val="20"/>
                <w:szCs w:val="20"/>
                <w:highlight w:val="none"/>
              </w:rPr>
            </w:pPr>
          </w:p>
          <w:p>
            <w:pPr>
              <w:pStyle w:val="16"/>
              <w:spacing w:before="0"/>
              <w:ind w:left="1020" w:right="1013"/>
              <w:jc w:val="center"/>
              <w:rPr>
                <w:sz w:val="20"/>
                <w:szCs w:val="20"/>
                <w:highlight w:val="none"/>
              </w:rPr>
            </w:pPr>
            <w:r>
              <w:rPr>
                <w:sz w:val="20"/>
                <w:szCs w:val="20"/>
                <w:highlight w:val="none"/>
              </w:rPr>
              <w:t>功能分类科目编码</w:t>
            </w:r>
          </w:p>
        </w:tc>
        <w:tc>
          <w:tcPr>
            <w:tcW w:w="2062" w:type="dxa"/>
          </w:tcPr>
          <w:p>
            <w:pPr>
              <w:pStyle w:val="16"/>
              <w:spacing w:before="9"/>
              <w:rPr>
                <w:sz w:val="20"/>
                <w:szCs w:val="20"/>
                <w:highlight w:val="none"/>
              </w:rPr>
            </w:pPr>
          </w:p>
          <w:p>
            <w:pPr>
              <w:pStyle w:val="16"/>
              <w:spacing w:before="0"/>
              <w:ind w:left="632"/>
              <w:rPr>
                <w:sz w:val="20"/>
                <w:szCs w:val="20"/>
                <w:highlight w:val="none"/>
              </w:rPr>
            </w:pPr>
            <w:r>
              <w:rPr>
                <w:sz w:val="20"/>
                <w:szCs w:val="20"/>
                <w:highlight w:val="none"/>
              </w:rPr>
              <w:t>科目名称</w:t>
            </w:r>
          </w:p>
        </w:tc>
        <w:tc>
          <w:tcPr>
            <w:tcW w:w="2873" w:type="dxa"/>
            <w:vMerge w:val="continue"/>
            <w:tcBorders>
              <w:top w:val="nil"/>
            </w:tcBorders>
          </w:tcPr>
          <w:p>
            <w:pPr>
              <w:rPr>
                <w:sz w:val="20"/>
                <w:szCs w:val="20"/>
                <w:highlight w:val="none"/>
              </w:rPr>
            </w:pPr>
          </w:p>
        </w:tc>
        <w:tc>
          <w:tcPr>
            <w:tcW w:w="2061" w:type="dxa"/>
            <w:vMerge w:val="continue"/>
            <w:tcBorders>
              <w:top w:val="nil"/>
            </w:tcBorders>
          </w:tcPr>
          <w:p>
            <w:pPr>
              <w:rPr>
                <w:sz w:val="20"/>
                <w:szCs w:val="20"/>
                <w:highlight w:val="none"/>
              </w:rPr>
            </w:pPr>
          </w:p>
        </w:tc>
        <w:tc>
          <w:tcPr>
            <w:tcW w:w="3278" w:type="dxa"/>
            <w:vMerge w:val="continue"/>
            <w:tcBorders>
              <w:top w:val="nil"/>
            </w:tcBorders>
          </w:tcPr>
          <w:p>
            <w:pPr>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746" w:type="dxa"/>
            <w:gridSpan w:val="2"/>
          </w:tcPr>
          <w:p>
            <w:pPr>
              <w:pStyle w:val="16"/>
              <w:spacing w:before="30"/>
              <w:ind w:left="5"/>
              <w:jc w:val="center"/>
              <w:rPr>
                <w:sz w:val="20"/>
                <w:szCs w:val="20"/>
                <w:highlight w:val="none"/>
              </w:rPr>
            </w:pPr>
            <w:r>
              <w:rPr>
                <w:sz w:val="20"/>
                <w:szCs w:val="20"/>
                <w:highlight w:val="none"/>
              </w:rPr>
              <w:t>栏次</w:t>
            </w:r>
          </w:p>
        </w:tc>
        <w:tc>
          <w:tcPr>
            <w:tcW w:w="2873" w:type="dxa"/>
          </w:tcPr>
          <w:p>
            <w:pPr>
              <w:pStyle w:val="16"/>
              <w:spacing w:before="43"/>
              <w:ind w:left="7"/>
              <w:jc w:val="center"/>
              <w:rPr>
                <w:rFonts w:ascii="Times New Roman"/>
                <w:sz w:val="20"/>
                <w:szCs w:val="20"/>
                <w:highlight w:val="none"/>
              </w:rPr>
            </w:pPr>
            <w:r>
              <w:rPr>
                <w:rFonts w:ascii="Times New Roman"/>
                <w:w w:val="99"/>
                <w:sz w:val="20"/>
                <w:szCs w:val="20"/>
                <w:highlight w:val="none"/>
              </w:rPr>
              <w:t>1</w:t>
            </w:r>
          </w:p>
        </w:tc>
        <w:tc>
          <w:tcPr>
            <w:tcW w:w="2061" w:type="dxa"/>
          </w:tcPr>
          <w:p>
            <w:pPr>
              <w:pStyle w:val="16"/>
              <w:spacing w:before="43"/>
              <w:ind w:right="969"/>
              <w:jc w:val="right"/>
              <w:rPr>
                <w:rFonts w:ascii="Times New Roman"/>
                <w:sz w:val="20"/>
                <w:szCs w:val="20"/>
                <w:highlight w:val="none"/>
              </w:rPr>
            </w:pPr>
            <w:r>
              <w:rPr>
                <w:rFonts w:ascii="Times New Roman"/>
                <w:w w:val="99"/>
                <w:sz w:val="20"/>
                <w:szCs w:val="20"/>
                <w:highlight w:val="none"/>
              </w:rPr>
              <w:t>2</w:t>
            </w:r>
          </w:p>
        </w:tc>
        <w:tc>
          <w:tcPr>
            <w:tcW w:w="3278" w:type="dxa"/>
          </w:tcPr>
          <w:p>
            <w:pPr>
              <w:pStyle w:val="16"/>
              <w:spacing w:before="43"/>
              <w:ind w:right="1575"/>
              <w:jc w:val="right"/>
              <w:rPr>
                <w:rFonts w:ascii="Times New Roman"/>
                <w:sz w:val="20"/>
                <w:szCs w:val="20"/>
                <w:highlight w:val="none"/>
              </w:rPr>
            </w:pPr>
            <w:r>
              <w:rPr>
                <w:rFonts w:ascii="Times New Roman"/>
                <w:w w:val="99"/>
                <w:sz w:val="20"/>
                <w:szCs w:val="20"/>
                <w:highlight w:val="none"/>
              </w:rPr>
              <w:t>3</w:t>
            </w:r>
          </w:p>
        </w:tc>
      </w:tr>
      <w:tr>
        <w:tblPrEx>
          <w:tblCellMar>
            <w:top w:w="0" w:type="dxa"/>
            <w:left w:w="0" w:type="dxa"/>
            <w:bottom w:w="0" w:type="dxa"/>
            <w:right w:w="0" w:type="dxa"/>
          </w:tblCellMar>
        </w:tblPrEx>
        <w:trPr>
          <w:trHeight w:val="318" w:hRule="atLeast"/>
        </w:trPr>
        <w:tc>
          <w:tcPr>
            <w:tcW w:w="5746" w:type="dxa"/>
            <w:gridSpan w:val="2"/>
          </w:tcPr>
          <w:p>
            <w:pPr>
              <w:pStyle w:val="16"/>
              <w:spacing w:before="30"/>
              <w:ind w:left="5"/>
              <w:jc w:val="center"/>
              <w:rPr>
                <w:sz w:val="20"/>
                <w:szCs w:val="20"/>
                <w:highlight w:val="none"/>
              </w:rPr>
            </w:pPr>
            <w:r>
              <w:rPr>
                <w:sz w:val="20"/>
                <w:szCs w:val="20"/>
                <w:highlight w:val="none"/>
              </w:rPr>
              <w:t>合计</w:t>
            </w:r>
          </w:p>
        </w:tc>
        <w:tc>
          <w:tcPr>
            <w:tcW w:w="287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4,530.02</w:t>
            </w:r>
          </w:p>
        </w:tc>
        <w:tc>
          <w:tcPr>
            <w:tcW w:w="20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4,530.02</w:t>
            </w:r>
          </w:p>
        </w:tc>
        <w:tc>
          <w:tcPr>
            <w:tcW w:w="3278"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684" w:type="dxa"/>
            <w:tcBorders>
              <w:bottom w:val="single" w:color="000000" w:sz="6" w:space="0"/>
            </w:tcBorders>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204</w:t>
            </w:r>
          </w:p>
        </w:tc>
        <w:tc>
          <w:tcPr>
            <w:tcW w:w="2062" w:type="dxa"/>
            <w:tcBorders>
              <w:bottom w:val="single" w:color="000000" w:sz="6" w:space="0"/>
            </w:tcBorders>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公共安全支出</w:t>
            </w:r>
          </w:p>
        </w:tc>
        <w:tc>
          <w:tcPr>
            <w:tcW w:w="2873" w:type="dxa"/>
            <w:tcBorders>
              <w:bottom w:val="single" w:color="000000" w:sz="6" w:space="0"/>
            </w:tcBorders>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3,322.32</w:t>
            </w:r>
          </w:p>
        </w:tc>
        <w:tc>
          <w:tcPr>
            <w:tcW w:w="2061" w:type="dxa"/>
            <w:tcBorders>
              <w:bottom w:val="single" w:color="000000" w:sz="6" w:space="0"/>
            </w:tcBorders>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3,322.32</w:t>
            </w:r>
          </w:p>
        </w:tc>
        <w:tc>
          <w:tcPr>
            <w:tcW w:w="3278" w:type="dxa"/>
            <w:tcBorders>
              <w:bottom w:val="single" w:color="000000" w:sz="6" w:space="0"/>
            </w:tcBorders>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684" w:type="dxa"/>
            <w:tcBorders>
              <w:top w:val="single" w:color="000000" w:sz="6" w:space="0"/>
            </w:tcBorders>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20404</w:t>
            </w:r>
          </w:p>
        </w:tc>
        <w:tc>
          <w:tcPr>
            <w:tcW w:w="2062" w:type="dxa"/>
            <w:tcBorders>
              <w:top w:val="single" w:color="000000" w:sz="6" w:space="0"/>
            </w:tcBorders>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检察</w:t>
            </w:r>
          </w:p>
        </w:tc>
        <w:tc>
          <w:tcPr>
            <w:tcW w:w="2873" w:type="dxa"/>
            <w:tcBorders>
              <w:top w:val="single" w:color="000000" w:sz="6" w:space="0"/>
            </w:tcBorders>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3,322.32</w:t>
            </w:r>
          </w:p>
        </w:tc>
        <w:tc>
          <w:tcPr>
            <w:tcW w:w="2061" w:type="dxa"/>
            <w:tcBorders>
              <w:top w:val="single" w:color="000000" w:sz="6" w:space="0"/>
            </w:tcBorders>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3,322.32</w:t>
            </w:r>
          </w:p>
        </w:tc>
        <w:tc>
          <w:tcPr>
            <w:tcW w:w="3278" w:type="dxa"/>
            <w:tcBorders>
              <w:top w:val="single" w:color="000000" w:sz="6" w:space="0"/>
            </w:tcBorders>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684"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2040401</w:t>
            </w:r>
          </w:p>
        </w:tc>
        <w:tc>
          <w:tcPr>
            <w:tcW w:w="2062"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行政运行</w:t>
            </w:r>
          </w:p>
        </w:tc>
        <w:tc>
          <w:tcPr>
            <w:tcW w:w="287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2,920.73</w:t>
            </w:r>
          </w:p>
        </w:tc>
        <w:tc>
          <w:tcPr>
            <w:tcW w:w="20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2,920.73</w:t>
            </w:r>
          </w:p>
        </w:tc>
        <w:tc>
          <w:tcPr>
            <w:tcW w:w="3278"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684"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2040499</w:t>
            </w:r>
          </w:p>
        </w:tc>
        <w:tc>
          <w:tcPr>
            <w:tcW w:w="2062"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其他检察支出</w:t>
            </w:r>
          </w:p>
        </w:tc>
        <w:tc>
          <w:tcPr>
            <w:tcW w:w="287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401.59</w:t>
            </w:r>
          </w:p>
        </w:tc>
        <w:tc>
          <w:tcPr>
            <w:tcW w:w="20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401.59</w:t>
            </w:r>
          </w:p>
        </w:tc>
        <w:tc>
          <w:tcPr>
            <w:tcW w:w="3278"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684"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208</w:t>
            </w:r>
          </w:p>
        </w:tc>
        <w:tc>
          <w:tcPr>
            <w:tcW w:w="2062"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社会保障和就业支出</w:t>
            </w:r>
          </w:p>
        </w:tc>
        <w:tc>
          <w:tcPr>
            <w:tcW w:w="287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251.01</w:t>
            </w:r>
          </w:p>
        </w:tc>
        <w:tc>
          <w:tcPr>
            <w:tcW w:w="20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251.01</w:t>
            </w:r>
          </w:p>
        </w:tc>
        <w:tc>
          <w:tcPr>
            <w:tcW w:w="3278"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684"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20805</w:t>
            </w:r>
          </w:p>
        </w:tc>
        <w:tc>
          <w:tcPr>
            <w:tcW w:w="2062"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行政事业单位养老支出</w:t>
            </w:r>
          </w:p>
        </w:tc>
        <w:tc>
          <w:tcPr>
            <w:tcW w:w="2873"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251.01</w:t>
            </w:r>
          </w:p>
        </w:tc>
        <w:tc>
          <w:tcPr>
            <w:tcW w:w="20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251.01</w:t>
            </w:r>
          </w:p>
        </w:tc>
        <w:tc>
          <w:tcPr>
            <w:tcW w:w="3278"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684"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2080505</w:t>
            </w:r>
          </w:p>
        </w:tc>
        <w:tc>
          <w:tcPr>
            <w:tcW w:w="2062"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机关事业单位基本养老保险缴费支出</w:t>
            </w:r>
          </w:p>
        </w:tc>
        <w:tc>
          <w:tcPr>
            <w:tcW w:w="2873"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168.27</w:t>
            </w:r>
          </w:p>
        </w:tc>
        <w:tc>
          <w:tcPr>
            <w:tcW w:w="2061"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168.27</w:t>
            </w:r>
          </w:p>
        </w:tc>
        <w:tc>
          <w:tcPr>
            <w:tcW w:w="3278"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684"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2080506</w:t>
            </w:r>
          </w:p>
        </w:tc>
        <w:tc>
          <w:tcPr>
            <w:tcW w:w="2062"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机关事业单位职业年金缴费支出</w:t>
            </w:r>
          </w:p>
        </w:tc>
        <w:tc>
          <w:tcPr>
            <w:tcW w:w="2873"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82.74</w:t>
            </w:r>
          </w:p>
        </w:tc>
        <w:tc>
          <w:tcPr>
            <w:tcW w:w="2061"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82.74</w:t>
            </w:r>
          </w:p>
        </w:tc>
        <w:tc>
          <w:tcPr>
            <w:tcW w:w="3278"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684"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211</w:t>
            </w:r>
          </w:p>
        </w:tc>
        <w:tc>
          <w:tcPr>
            <w:tcW w:w="2062"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节能环保支出</w:t>
            </w:r>
          </w:p>
        </w:tc>
        <w:tc>
          <w:tcPr>
            <w:tcW w:w="2873"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2061"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3278"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684"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21103</w:t>
            </w:r>
          </w:p>
        </w:tc>
        <w:tc>
          <w:tcPr>
            <w:tcW w:w="2062"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污染防治</w:t>
            </w:r>
          </w:p>
        </w:tc>
        <w:tc>
          <w:tcPr>
            <w:tcW w:w="2873"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2061"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3278"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684"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2110399</w:t>
            </w:r>
          </w:p>
        </w:tc>
        <w:tc>
          <w:tcPr>
            <w:tcW w:w="2062"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其他污染防治支出</w:t>
            </w:r>
          </w:p>
        </w:tc>
        <w:tc>
          <w:tcPr>
            <w:tcW w:w="2873"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2061"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3278"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684"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221</w:t>
            </w:r>
          </w:p>
        </w:tc>
        <w:tc>
          <w:tcPr>
            <w:tcW w:w="2062"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住房保障支出</w:t>
            </w:r>
          </w:p>
        </w:tc>
        <w:tc>
          <w:tcPr>
            <w:tcW w:w="2873"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906.69</w:t>
            </w:r>
          </w:p>
        </w:tc>
        <w:tc>
          <w:tcPr>
            <w:tcW w:w="2061"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906.69</w:t>
            </w:r>
          </w:p>
        </w:tc>
        <w:tc>
          <w:tcPr>
            <w:tcW w:w="3278"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684"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22102</w:t>
            </w:r>
          </w:p>
        </w:tc>
        <w:tc>
          <w:tcPr>
            <w:tcW w:w="2062"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住房改革支出</w:t>
            </w:r>
          </w:p>
        </w:tc>
        <w:tc>
          <w:tcPr>
            <w:tcW w:w="2873"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906.69</w:t>
            </w:r>
          </w:p>
        </w:tc>
        <w:tc>
          <w:tcPr>
            <w:tcW w:w="2061"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906.69</w:t>
            </w:r>
          </w:p>
        </w:tc>
        <w:tc>
          <w:tcPr>
            <w:tcW w:w="3278"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684"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2210201</w:t>
            </w:r>
          </w:p>
        </w:tc>
        <w:tc>
          <w:tcPr>
            <w:tcW w:w="206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住房公积金</w:t>
            </w:r>
          </w:p>
        </w:tc>
        <w:tc>
          <w:tcPr>
            <w:tcW w:w="2873"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303.78</w:t>
            </w:r>
          </w:p>
        </w:tc>
        <w:tc>
          <w:tcPr>
            <w:tcW w:w="2061"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303.78</w:t>
            </w:r>
          </w:p>
        </w:tc>
        <w:tc>
          <w:tcPr>
            <w:tcW w:w="3278"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684"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2210202</w:t>
            </w:r>
          </w:p>
        </w:tc>
        <w:tc>
          <w:tcPr>
            <w:tcW w:w="206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提租补贴</w:t>
            </w:r>
          </w:p>
        </w:tc>
        <w:tc>
          <w:tcPr>
            <w:tcW w:w="2873"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602.91</w:t>
            </w:r>
          </w:p>
        </w:tc>
        <w:tc>
          <w:tcPr>
            <w:tcW w:w="2061"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602.91</w:t>
            </w:r>
          </w:p>
        </w:tc>
        <w:tc>
          <w:tcPr>
            <w:tcW w:w="3278"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bl>
    <w:p>
      <w:pPr>
        <w:spacing w:before="25" w:line="292" w:lineRule="auto"/>
        <w:ind w:left="228" w:right="621"/>
        <w:rPr>
          <w:sz w:val="20"/>
          <w:highlight w:val="none"/>
        </w:rPr>
      </w:pPr>
      <w:r>
        <w:rPr>
          <w:w w:val="95"/>
          <w:sz w:val="20"/>
          <w:highlight w:val="none"/>
        </w:rPr>
        <w:t>注：</w:t>
      </w:r>
      <w:r>
        <w:rPr>
          <w:rFonts w:ascii="Times New Roman" w:eastAsia="Times New Roman"/>
          <w:w w:val="95"/>
          <w:sz w:val="20"/>
          <w:highlight w:val="none"/>
        </w:rPr>
        <w:t>1.</w:t>
      </w:r>
      <w:r>
        <w:rPr>
          <w:spacing w:val="-1"/>
          <w:w w:val="95"/>
          <w:sz w:val="20"/>
          <w:highlight w:val="none"/>
        </w:rPr>
        <w:t>本表反映部门本年度按功能分类财政拨款实际支出情况。财政拨款指一般公共预算财政拨款、政府性基金预算财政拨款和国有资本经营预算财政拨</w:t>
      </w:r>
      <w:r>
        <w:rPr>
          <w:sz w:val="20"/>
          <w:highlight w:val="none"/>
        </w:rPr>
        <w:t>款。</w:t>
      </w:r>
    </w:p>
    <w:p>
      <w:pPr>
        <w:spacing w:line="256" w:lineRule="exact"/>
        <w:ind w:left="629"/>
        <w:rPr>
          <w:sz w:val="20"/>
          <w:highlight w:val="none"/>
        </w:rPr>
      </w:pPr>
      <w:r>
        <w:rPr>
          <w:rFonts w:ascii="Times New Roman" w:hAnsi="Times New Roman" w:eastAsia="Times New Roman"/>
          <w:sz w:val="20"/>
          <w:highlight w:val="none"/>
        </w:rPr>
        <w:t>2.“</w:t>
      </w:r>
      <w:r>
        <w:rPr>
          <w:sz w:val="20"/>
          <w:highlight w:val="none"/>
        </w:rPr>
        <w:t>科目编码</w:t>
      </w:r>
      <w:r>
        <w:rPr>
          <w:rFonts w:ascii="Times New Roman" w:hAnsi="Times New Roman" w:eastAsia="Times New Roman"/>
          <w:sz w:val="20"/>
          <w:highlight w:val="none"/>
        </w:rPr>
        <w:t>”</w:t>
      </w:r>
      <w:r>
        <w:rPr>
          <w:sz w:val="20"/>
          <w:highlight w:val="none"/>
        </w:rPr>
        <w:t>和</w:t>
      </w:r>
      <w:r>
        <w:rPr>
          <w:rFonts w:ascii="Times New Roman" w:hAnsi="Times New Roman" w:eastAsia="Times New Roman"/>
          <w:sz w:val="20"/>
          <w:highlight w:val="none"/>
        </w:rPr>
        <w:t>“</w:t>
      </w:r>
      <w:r>
        <w:rPr>
          <w:sz w:val="20"/>
          <w:highlight w:val="none"/>
        </w:rPr>
        <w:t>科目名称</w:t>
      </w:r>
      <w:r>
        <w:rPr>
          <w:rFonts w:ascii="Times New Roman" w:hAnsi="Times New Roman" w:eastAsia="Times New Roman"/>
          <w:sz w:val="20"/>
          <w:highlight w:val="none"/>
        </w:rPr>
        <w:t>”</w:t>
      </w:r>
      <w:r>
        <w:rPr>
          <w:sz w:val="20"/>
          <w:highlight w:val="none"/>
        </w:rPr>
        <w:t>均为必填项。</w:t>
      </w:r>
    </w:p>
    <w:p>
      <w:pPr>
        <w:spacing w:line="256" w:lineRule="exact"/>
        <w:rPr>
          <w:sz w:val="20"/>
          <w:highlight w:val="none"/>
        </w:rPr>
        <w:sectPr>
          <w:pgSz w:w="16840" w:h="11910" w:orient="landscape"/>
          <w:pgMar w:top="1100" w:right="1320" w:bottom="280" w:left="1320" w:header="720" w:footer="720" w:gutter="0"/>
          <w:cols w:space="720" w:num="1"/>
        </w:sectPr>
      </w:pPr>
    </w:p>
    <w:p>
      <w:pPr>
        <w:pStyle w:val="2"/>
        <w:rPr>
          <w:sz w:val="20"/>
          <w:highlight w:val="none"/>
        </w:rPr>
      </w:pPr>
    </w:p>
    <w:p>
      <w:pPr>
        <w:pStyle w:val="2"/>
        <w:rPr>
          <w:sz w:val="20"/>
          <w:highlight w:val="none"/>
        </w:rPr>
      </w:pPr>
    </w:p>
    <w:p>
      <w:pPr>
        <w:pStyle w:val="2"/>
        <w:spacing w:before="4"/>
        <w:rPr>
          <w:sz w:val="14"/>
          <w:highlight w:val="none"/>
        </w:rPr>
      </w:pPr>
    </w:p>
    <w:p>
      <w:pPr>
        <w:pStyle w:val="12"/>
        <w:spacing w:before="51"/>
        <w:ind w:left="1"/>
        <w:rPr>
          <w:highlight w:val="none"/>
        </w:rPr>
      </w:pPr>
      <w:r>
        <w:rPr>
          <w:highlight w:val="none"/>
        </w:rPr>
        <w:t>财政拨款基本支出决算表（经济科目）</w:t>
      </w:r>
    </w:p>
    <w:p>
      <w:pPr>
        <w:pStyle w:val="2"/>
        <w:rPr>
          <w:sz w:val="20"/>
          <w:highlight w:val="none"/>
        </w:rPr>
      </w:pPr>
    </w:p>
    <w:p>
      <w:pPr>
        <w:pStyle w:val="2"/>
        <w:spacing w:before="9"/>
        <w:rPr>
          <w:sz w:val="22"/>
          <w:highlight w:val="none"/>
        </w:rPr>
      </w:pPr>
    </w:p>
    <w:p>
      <w:pPr>
        <w:spacing w:before="78"/>
        <w:ind w:right="977"/>
        <w:jc w:val="right"/>
        <w:rPr>
          <w:sz w:val="20"/>
          <w:highlight w:val="none"/>
        </w:rPr>
      </w:pPr>
      <w:r>
        <w:rPr>
          <w:spacing w:val="-18"/>
          <w:sz w:val="20"/>
          <w:highlight w:val="none"/>
        </w:rPr>
        <w:t xml:space="preserve">公开 </w:t>
      </w:r>
      <w:r>
        <w:rPr>
          <w:rFonts w:ascii="Times New Roman" w:eastAsia="Times New Roman"/>
          <w:sz w:val="20"/>
          <w:highlight w:val="none"/>
        </w:rPr>
        <w:t xml:space="preserve">06 </w:t>
      </w:r>
      <w:r>
        <w:rPr>
          <w:sz w:val="20"/>
          <w:highlight w:val="none"/>
        </w:rPr>
        <w:t>表</w:t>
      </w:r>
    </w:p>
    <w:p>
      <w:pPr>
        <w:pStyle w:val="2"/>
        <w:spacing w:before="9"/>
        <w:rPr>
          <w:sz w:val="16"/>
          <w:highlight w:val="none"/>
        </w:rPr>
      </w:pPr>
    </w:p>
    <w:p>
      <w:pPr>
        <w:tabs>
          <w:tab w:val="left" w:pos="11590"/>
        </w:tabs>
        <w:spacing w:after="35"/>
        <w:ind w:right="980"/>
        <w:jc w:val="right"/>
        <w:rPr>
          <w:sz w:val="20"/>
          <w:highlight w:val="none"/>
        </w:rPr>
      </w:pPr>
      <w:r>
        <w:rPr>
          <w:sz w:val="20"/>
          <w:highlight w:val="none"/>
        </w:rPr>
        <w:t>部门名称：</w:t>
      </w:r>
      <w:r>
        <w:rPr>
          <w:rFonts w:hint="eastAsia" w:ascii="Times New Roman"/>
          <w:sz w:val="20"/>
          <w:highlight w:val="none"/>
          <w:lang w:eastAsia="zh-CN"/>
        </w:rPr>
        <w:t>连云港市海州区人民检察院</w:t>
      </w:r>
      <w:r>
        <w:rPr>
          <w:rFonts w:ascii="Times New Roman" w:eastAsia="Times New Roman"/>
          <w:sz w:val="20"/>
          <w:highlight w:val="none"/>
        </w:rPr>
        <w:tab/>
      </w:r>
      <w:r>
        <w:rPr>
          <w:w w:val="95"/>
          <w:sz w:val="20"/>
          <w:highlight w:val="none"/>
        </w:rPr>
        <w:t>金额单位：万元</w:t>
      </w:r>
    </w:p>
    <w:tbl>
      <w:tblPr>
        <w:tblStyle w:val="8"/>
        <w:tblW w:w="0" w:type="auto"/>
        <w:tblInd w:w="2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5"/>
        <w:gridCol w:w="3125"/>
        <w:gridCol w:w="2836"/>
        <w:gridCol w:w="2572"/>
        <w:gridCol w:w="3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260" w:type="dxa"/>
            <w:gridSpan w:val="2"/>
          </w:tcPr>
          <w:p>
            <w:pPr>
              <w:pStyle w:val="16"/>
              <w:tabs>
                <w:tab w:val="left" w:pos="614"/>
              </w:tabs>
              <w:spacing w:before="28"/>
              <w:ind w:left="12"/>
              <w:jc w:val="center"/>
              <w:rPr>
                <w:sz w:val="20"/>
                <w:szCs w:val="20"/>
                <w:highlight w:val="none"/>
              </w:rPr>
            </w:pPr>
            <w:r>
              <w:rPr>
                <w:sz w:val="20"/>
                <w:szCs w:val="20"/>
                <w:highlight w:val="none"/>
              </w:rPr>
              <w:t>项</w:t>
            </w:r>
            <w:r>
              <w:rPr>
                <w:sz w:val="20"/>
                <w:szCs w:val="20"/>
                <w:highlight w:val="none"/>
              </w:rPr>
              <w:tab/>
            </w:r>
            <w:r>
              <w:rPr>
                <w:sz w:val="20"/>
                <w:szCs w:val="20"/>
                <w:highlight w:val="none"/>
              </w:rPr>
              <w:t>目</w:t>
            </w:r>
          </w:p>
        </w:tc>
        <w:tc>
          <w:tcPr>
            <w:tcW w:w="8808" w:type="dxa"/>
            <w:gridSpan w:val="3"/>
          </w:tcPr>
          <w:p>
            <w:pPr>
              <w:pStyle w:val="16"/>
              <w:spacing w:before="28"/>
              <w:ind w:left="2984" w:right="2974"/>
              <w:jc w:val="center"/>
              <w:rPr>
                <w:sz w:val="20"/>
                <w:szCs w:val="20"/>
                <w:highlight w:val="none"/>
              </w:rPr>
            </w:pPr>
            <w:r>
              <w:rPr>
                <w:sz w:val="20"/>
                <w:szCs w:val="20"/>
                <w:highlight w:val="none"/>
              </w:rPr>
              <w:t>财政拨款基本支出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135" w:type="dxa"/>
          </w:tcPr>
          <w:p>
            <w:pPr>
              <w:pStyle w:val="16"/>
              <w:spacing w:before="6"/>
              <w:rPr>
                <w:sz w:val="20"/>
                <w:szCs w:val="20"/>
                <w:highlight w:val="none"/>
              </w:rPr>
            </w:pPr>
          </w:p>
          <w:p>
            <w:pPr>
              <w:pStyle w:val="16"/>
              <w:spacing w:before="0" w:line="292" w:lineRule="auto"/>
              <w:ind w:left="333" w:right="125" w:hanging="200"/>
              <w:rPr>
                <w:sz w:val="20"/>
                <w:szCs w:val="20"/>
                <w:highlight w:val="none"/>
              </w:rPr>
            </w:pPr>
            <w:r>
              <w:rPr>
                <w:sz w:val="20"/>
                <w:szCs w:val="20"/>
                <w:highlight w:val="none"/>
              </w:rPr>
              <w:t>经济分类科目编码</w:t>
            </w:r>
          </w:p>
        </w:tc>
        <w:tc>
          <w:tcPr>
            <w:tcW w:w="3125" w:type="dxa"/>
          </w:tcPr>
          <w:p>
            <w:pPr>
              <w:pStyle w:val="16"/>
              <w:spacing w:before="8"/>
              <w:rPr>
                <w:sz w:val="20"/>
                <w:szCs w:val="20"/>
                <w:highlight w:val="none"/>
              </w:rPr>
            </w:pPr>
          </w:p>
          <w:p>
            <w:pPr>
              <w:pStyle w:val="16"/>
              <w:spacing w:before="0"/>
              <w:ind w:left="1142" w:right="1133"/>
              <w:jc w:val="center"/>
              <w:rPr>
                <w:sz w:val="20"/>
                <w:szCs w:val="20"/>
                <w:highlight w:val="none"/>
              </w:rPr>
            </w:pPr>
            <w:r>
              <w:rPr>
                <w:sz w:val="20"/>
                <w:szCs w:val="20"/>
                <w:highlight w:val="none"/>
              </w:rPr>
              <w:t>科目名称</w:t>
            </w:r>
          </w:p>
        </w:tc>
        <w:tc>
          <w:tcPr>
            <w:tcW w:w="2836" w:type="dxa"/>
          </w:tcPr>
          <w:p>
            <w:pPr>
              <w:pStyle w:val="16"/>
              <w:spacing w:before="8"/>
              <w:rPr>
                <w:sz w:val="20"/>
                <w:szCs w:val="20"/>
                <w:highlight w:val="none"/>
              </w:rPr>
            </w:pPr>
          </w:p>
          <w:p>
            <w:pPr>
              <w:pStyle w:val="16"/>
              <w:spacing w:before="0"/>
              <w:ind w:left="1196" w:right="1190"/>
              <w:jc w:val="center"/>
              <w:rPr>
                <w:sz w:val="20"/>
                <w:szCs w:val="20"/>
                <w:highlight w:val="none"/>
              </w:rPr>
            </w:pPr>
            <w:r>
              <w:rPr>
                <w:sz w:val="20"/>
                <w:szCs w:val="20"/>
                <w:highlight w:val="none"/>
              </w:rPr>
              <w:t>合计</w:t>
            </w:r>
          </w:p>
        </w:tc>
        <w:tc>
          <w:tcPr>
            <w:tcW w:w="2572" w:type="dxa"/>
          </w:tcPr>
          <w:p>
            <w:pPr>
              <w:pStyle w:val="16"/>
              <w:spacing w:before="8"/>
              <w:rPr>
                <w:sz w:val="20"/>
                <w:szCs w:val="20"/>
                <w:highlight w:val="none"/>
              </w:rPr>
            </w:pPr>
          </w:p>
          <w:p>
            <w:pPr>
              <w:pStyle w:val="16"/>
              <w:spacing w:before="0"/>
              <w:ind w:left="863" w:right="859"/>
              <w:jc w:val="center"/>
              <w:rPr>
                <w:sz w:val="20"/>
                <w:szCs w:val="20"/>
                <w:highlight w:val="none"/>
              </w:rPr>
            </w:pPr>
            <w:r>
              <w:rPr>
                <w:sz w:val="20"/>
                <w:szCs w:val="20"/>
                <w:highlight w:val="none"/>
              </w:rPr>
              <w:t>人员经费</w:t>
            </w:r>
          </w:p>
        </w:tc>
        <w:tc>
          <w:tcPr>
            <w:tcW w:w="3400" w:type="dxa"/>
          </w:tcPr>
          <w:p>
            <w:pPr>
              <w:pStyle w:val="16"/>
              <w:spacing w:before="8"/>
              <w:rPr>
                <w:sz w:val="20"/>
                <w:szCs w:val="20"/>
                <w:highlight w:val="none"/>
              </w:rPr>
            </w:pPr>
          </w:p>
          <w:p>
            <w:pPr>
              <w:pStyle w:val="16"/>
              <w:spacing w:before="0"/>
              <w:ind w:left="1281" w:right="1269"/>
              <w:jc w:val="center"/>
              <w:rPr>
                <w:sz w:val="20"/>
                <w:szCs w:val="20"/>
                <w:highlight w:val="none"/>
              </w:rPr>
            </w:pPr>
            <w:r>
              <w:rPr>
                <w:sz w:val="20"/>
                <w:szCs w:val="20"/>
                <w:highlight w:val="none"/>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4260" w:type="dxa"/>
            <w:gridSpan w:val="2"/>
          </w:tcPr>
          <w:p>
            <w:pPr>
              <w:pStyle w:val="16"/>
              <w:spacing w:before="30"/>
              <w:ind w:left="7"/>
              <w:jc w:val="center"/>
              <w:rPr>
                <w:sz w:val="20"/>
                <w:szCs w:val="20"/>
                <w:highlight w:val="none"/>
              </w:rPr>
            </w:pPr>
            <w:r>
              <w:rPr>
                <w:sz w:val="20"/>
                <w:szCs w:val="20"/>
                <w:highlight w:val="none"/>
              </w:rPr>
              <w:t>合计</w:t>
            </w:r>
          </w:p>
        </w:tc>
        <w:tc>
          <w:tcPr>
            <w:tcW w:w="2836" w:type="dxa"/>
          </w:tcPr>
          <w:p>
            <w:pPr>
              <w:pStyle w:val="16"/>
              <w:spacing w:before="30"/>
              <w:ind w:left="106"/>
              <w:jc w:val="right"/>
              <w:rPr>
                <w:sz w:val="20"/>
                <w:szCs w:val="20"/>
                <w:highlight w:val="yellow"/>
              </w:rPr>
            </w:pPr>
            <w:r>
              <w:rPr>
                <w:rFonts w:hint="eastAsia"/>
                <w:w w:val="99"/>
                <w:sz w:val="20"/>
                <w:szCs w:val="20"/>
                <w:highlight w:val="yellow"/>
                <w:lang w:val="en-US" w:eastAsia="zh-CN"/>
              </w:rPr>
              <w:t>4530.02</w:t>
            </w:r>
            <w:r>
              <w:rPr>
                <w:w w:val="99"/>
                <w:sz w:val="20"/>
                <w:szCs w:val="20"/>
                <w:highlight w:val="yellow"/>
              </w:rPr>
              <w:t xml:space="preserve"> </w:t>
            </w:r>
          </w:p>
        </w:tc>
        <w:tc>
          <w:tcPr>
            <w:tcW w:w="2572" w:type="dxa"/>
          </w:tcPr>
          <w:p>
            <w:pPr>
              <w:pStyle w:val="16"/>
              <w:spacing w:before="0"/>
              <w:jc w:val="right"/>
              <w:rPr>
                <w:rFonts w:hint="default" w:ascii="Times New Roman" w:eastAsia="宋体"/>
                <w:sz w:val="20"/>
                <w:szCs w:val="20"/>
                <w:highlight w:val="yellow"/>
                <w:lang w:val="en-US" w:eastAsia="zh-CN"/>
              </w:rPr>
            </w:pPr>
            <w:r>
              <w:rPr>
                <w:rFonts w:hint="eastAsia" w:ascii="Times New Roman"/>
                <w:sz w:val="20"/>
                <w:szCs w:val="20"/>
                <w:highlight w:val="yellow"/>
                <w:lang w:val="en-US" w:eastAsia="zh-CN"/>
              </w:rPr>
              <w:t>3441.35</w:t>
            </w:r>
          </w:p>
        </w:tc>
        <w:tc>
          <w:tcPr>
            <w:tcW w:w="3400" w:type="dxa"/>
          </w:tcPr>
          <w:p>
            <w:pPr>
              <w:pStyle w:val="16"/>
              <w:spacing w:before="0"/>
              <w:jc w:val="right"/>
              <w:rPr>
                <w:rFonts w:hint="default" w:ascii="Times New Roman" w:eastAsia="宋体"/>
                <w:sz w:val="20"/>
                <w:szCs w:val="20"/>
                <w:highlight w:val="yellow"/>
                <w:lang w:val="en-US" w:eastAsia="zh-CN"/>
              </w:rPr>
            </w:pPr>
            <w:r>
              <w:rPr>
                <w:rFonts w:hint="eastAsia" w:ascii="Times New Roman"/>
                <w:sz w:val="20"/>
                <w:szCs w:val="20"/>
                <w:highlight w:val="yellow"/>
                <w:lang w:val="en-US" w:eastAsia="zh-CN"/>
              </w:rPr>
              <w:t>1088.67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ascii="Times New Roman"/>
                <w:b/>
                <w:sz w:val="20"/>
                <w:szCs w:val="20"/>
                <w:highlight w:val="none"/>
              </w:rPr>
            </w:pPr>
            <w:r>
              <w:rPr>
                <w:rFonts w:hint="eastAsia" w:ascii="宋体" w:hAnsi="宋体" w:eastAsia="宋体" w:cs="宋体"/>
                <w:b/>
                <w:i w:val="0"/>
                <w:color w:val="000000"/>
                <w:kern w:val="0"/>
                <w:sz w:val="20"/>
                <w:szCs w:val="20"/>
                <w:highlight w:val="none"/>
                <w:u w:val="none"/>
                <w:lang w:val="en-US" w:eastAsia="zh-CN" w:bidi="ar"/>
              </w:rPr>
              <w:t>301</w:t>
            </w:r>
          </w:p>
        </w:tc>
        <w:tc>
          <w:tcPr>
            <w:tcW w:w="3125" w:type="dxa"/>
            <w:vAlign w:val="center"/>
          </w:tcPr>
          <w:p>
            <w:pPr>
              <w:keepNext w:val="0"/>
              <w:keepLines w:val="0"/>
              <w:widowControl/>
              <w:suppressLineNumbers w:val="0"/>
              <w:jc w:val="left"/>
              <w:textAlignment w:val="center"/>
              <w:rPr>
                <w:b/>
                <w:sz w:val="20"/>
                <w:szCs w:val="20"/>
                <w:highlight w:val="none"/>
              </w:rPr>
            </w:pPr>
            <w:r>
              <w:rPr>
                <w:rFonts w:hint="eastAsia" w:ascii="宋体" w:hAnsi="宋体" w:eastAsia="宋体" w:cs="宋体"/>
                <w:b/>
                <w:i w:val="0"/>
                <w:color w:val="000000"/>
                <w:kern w:val="0"/>
                <w:sz w:val="20"/>
                <w:szCs w:val="20"/>
                <w:highlight w:val="none"/>
                <w:u w:val="none"/>
                <w:lang w:val="en-US" w:eastAsia="zh-CN" w:bidi="ar"/>
              </w:rPr>
              <w:t xml:space="preserve"> 工资福利支出</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3,243.58</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3,243.58</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30101</w:t>
            </w:r>
          </w:p>
        </w:tc>
        <w:tc>
          <w:tcPr>
            <w:tcW w:w="3125"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基本工资</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485.87</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485.87</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35" w:type="dxa"/>
            <w:vAlign w:val="center"/>
          </w:tcPr>
          <w:p>
            <w:pPr>
              <w:keepNext w:val="0"/>
              <w:keepLines w:val="0"/>
              <w:widowControl/>
              <w:suppressLineNumbers w:val="0"/>
              <w:jc w:val="left"/>
              <w:textAlignment w:val="center"/>
              <w:rPr>
                <w:rFonts w:ascii="Times New Roman" w:hAns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30102</w:t>
            </w:r>
          </w:p>
        </w:tc>
        <w:tc>
          <w:tcPr>
            <w:tcW w:w="3125" w:type="dxa"/>
            <w:vAlign w:val="center"/>
          </w:tcPr>
          <w:p>
            <w:pPr>
              <w:keepNext w:val="0"/>
              <w:keepLines w:val="0"/>
              <w:widowControl/>
              <w:suppressLineNumbers w:val="0"/>
              <w:jc w:val="left"/>
              <w:textAlignment w:val="center"/>
              <w:rPr>
                <w:rFonts w:ascii="Times New Roman" w:hAns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津贴补贴</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1,272.66</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1,272.66</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ascii="Times New Roman"/>
                <w:b/>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30103</w:t>
            </w:r>
          </w:p>
        </w:tc>
        <w:tc>
          <w:tcPr>
            <w:tcW w:w="3125" w:type="dxa"/>
            <w:vAlign w:val="center"/>
          </w:tcPr>
          <w:p>
            <w:pPr>
              <w:keepNext w:val="0"/>
              <w:keepLines w:val="0"/>
              <w:widowControl/>
              <w:suppressLineNumbers w:val="0"/>
              <w:jc w:val="left"/>
              <w:textAlignment w:val="center"/>
              <w:rPr>
                <w:b/>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奖金</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650.46</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650.46</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35" w:type="dxa"/>
            <w:vAlign w:val="center"/>
          </w:tcPr>
          <w:p>
            <w:pPr>
              <w:keepNext w:val="0"/>
              <w:keepLines w:val="0"/>
              <w:widowControl/>
              <w:suppressLineNumbers w:val="0"/>
              <w:jc w:val="lef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30106</w:t>
            </w:r>
          </w:p>
        </w:tc>
        <w:tc>
          <w:tcPr>
            <w:tcW w:w="3125"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伙食补助费</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35.64</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35.64</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ascii="Times New Roman" w:hAns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30107</w:t>
            </w:r>
          </w:p>
        </w:tc>
        <w:tc>
          <w:tcPr>
            <w:tcW w:w="3125" w:type="dxa"/>
            <w:vAlign w:val="center"/>
          </w:tcPr>
          <w:p>
            <w:pPr>
              <w:keepNext w:val="0"/>
              <w:keepLines w:val="0"/>
              <w:widowControl/>
              <w:suppressLineNumbers w:val="0"/>
              <w:jc w:val="left"/>
              <w:textAlignment w:val="center"/>
              <w:rPr>
                <w:rFonts w:ascii="Times New Roman" w:hAns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绩效工资</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ascii="Times New Roman"/>
                <w:b/>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30108</w:t>
            </w:r>
          </w:p>
        </w:tc>
        <w:tc>
          <w:tcPr>
            <w:tcW w:w="3125" w:type="dxa"/>
            <w:vAlign w:val="center"/>
          </w:tcPr>
          <w:p>
            <w:pPr>
              <w:keepNext w:val="0"/>
              <w:keepLines w:val="0"/>
              <w:widowControl/>
              <w:suppressLineNumbers w:val="0"/>
              <w:jc w:val="left"/>
              <w:textAlignment w:val="center"/>
              <w:rPr>
                <w:b/>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机关事业单位基本养老保险缴费</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168.27</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168.27</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30109</w:t>
            </w:r>
          </w:p>
        </w:tc>
        <w:tc>
          <w:tcPr>
            <w:tcW w:w="3125"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职业年金缴费</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82.74</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82.74</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ascii="Times New Roman" w:hAns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30110</w:t>
            </w:r>
          </w:p>
        </w:tc>
        <w:tc>
          <w:tcPr>
            <w:tcW w:w="3125" w:type="dxa"/>
            <w:vAlign w:val="center"/>
          </w:tcPr>
          <w:p>
            <w:pPr>
              <w:keepNext w:val="0"/>
              <w:keepLines w:val="0"/>
              <w:widowControl/>
              <w:suppressLineNumbers w:val="0"/>
              <w:jc w:val="left"/>
              <w:textAlignment w:val="center"/>
              <w:rPr>
                <w:rFonts w:ascii="Times New Roman" w:hAns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职工基本医疗保险缴费</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61.55</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61.55</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ascii="Times New Roman"/>
                <w:b/>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30111</w:t>
            </w:r>
          </w:p>
        </w:tc>
        <w:tc>
          <w:tcPr>
            <w:tcW w:w="3125" w:type="dxa"/>
            <w:vAlign w:val="center"/>
          </w:tcPr>
          <w:p>
            <w:pPr>
              <w:keepNext w:val="0"/>
              <w:keepLines w:val="0"/>
              <w:widowControl/>
              <w:suppressLineNumbers w:val="0"/>
              <w:jc w:val="left"/>
              <w:textAlignment w:val="center"/>
              <w:rPr>
                <w:b/>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公务员医疗补助缴费</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49.35</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49.35</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CellMar>
            <w:top w:w="0" w:type="dxa"/>
            <w:left w:w="0" w:type="dxa"/>
            <w:bottom w:w="0" w:type="dxa"/>
            <w:right w:w="0" w:type="dxa"/>
          </w:tblCellMar>
        </w:tblPrEx>
        <w:trPr>
          <w:trHeight w:val="319" w:hRule="atLeast"/>
        </w:trPr>
        <w:tc>
          <w:tcPr>
            <w:tcW w:w="1135" w:type="dxa"/>
            <w:vAlign w:val="center"/>
          </w:tcPr>
          <w:p>
            <w:pPr>
              <w:keepNext w:val="0"/>
              <w:keepLines w:val="0"/>
              <w:widowControl/>
              <w:suppressLineNumbers w:val="0"/>
              <w:jc w:val="left"/>
              <w:textAlignment w:val="center"/>
              <w:rPr>
                <w:rFonts w:ascii="Times New Roman" w:hAns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30112</w:t>
            </w:r>
          </w:p>
        </w:tc>
        <w:tc>
          <w:tcPr>
            <w:tcW w:w="3125" w:type="dxa"/>
            <w:vAlign w:val="center"/>
          </w:tcPr>
          <w:p>
            <w:pPr>
              <w:keepNext w:val="0"/>
              <w:keepLines w:val="0"/>
              <w:widowControl/>
              <w:suppressLineNumbers w:val="0"/>
              <w:jc w:val="left"/>
              <w:textAlignment w:val="center"/>
              <w:rPr>
                <w:rFonts w:ascii="Times New Roman" w:hAns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其他社会保障缴费</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9.92</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9.92</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30113</w:t>
            </w:r>
          </w:p>
        </w:tc>
        <w:tc>
          <w:tcPr>
            <w:tcW w:w="3125"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住房公积金</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303.78</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303.78</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30114</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医疗费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30199</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其他工资福利支出</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123.34</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123.34</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302</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商品和服务支出</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813.56</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813.56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30201</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办公费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152.05</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152.05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30202</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印刷费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3.45</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3.45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30203</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咨询费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30204</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手续费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30205</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水费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1.73</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30206</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电费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26.67</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26.67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30207</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邮电费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46.87</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46.87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30208</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取暖费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30209</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物业管理费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17.25</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17.25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30211</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差旅费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22.90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22.90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30212</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因公出国（境）费用</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30213</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维修（护）费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119.35</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119.35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30214</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租赁费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30215</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会议费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0.18</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30216</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培训费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4.68</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30217</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公务接待费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30218</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专用材料费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30224</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被装购置费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30225</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专用燃料费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30226</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劳务费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189.83</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189.83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30227</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委托业务费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30228</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工会经费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40.20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40.20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30229</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福利费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30231</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公务用车运行维护费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24.53</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24.53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30239</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其他交通费用</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30240</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税金及附加费用</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30299</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其他商品和服务支出</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113.87</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113.87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303</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对个人和家庭的补助</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197.77</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197.77</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30301</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离休费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18.58</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18.58</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30302</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退休费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179.20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179.20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30303</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退职（役）费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30304</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抚恤金</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30305</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生活补助</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30306</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救济费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30307</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医疗费补助</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30308</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助学金</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30309</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奖励金</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30310</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个人农业生产补贴</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30311</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代缴社会保险费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30399</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其他对个人和家庭的补助</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307</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债务利息及费用支出</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30701</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国内债务付息</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30702</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国外债务付息</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30703</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国内债务发行费用</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30704</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国外债务发行费用</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310</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资本性支出</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275.11</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275.11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31001</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房屋建筑物购建</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31002</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办公设备购置</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16.67</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16.67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31003</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专用设备购置</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154.11</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154.11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31005</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基础设施建设</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31006</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大型修缮</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31007</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信息网络及软件购置更新</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82.68</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82.68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31008</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物资储备</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31009</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土地补偿</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31010</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安置补助</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31011</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地上附着物和青苗补偿</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31012</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拆迁补偿</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31013</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公务用车购置</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21.64</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21.64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31019</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其他交通工具购置</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31021</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文物和陈列品购置</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31022</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无形资产购置</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31099</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其他资本性支出</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310</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资本性支出</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275.11</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275.11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31001</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房屋建筑物购建</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31002</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办公设备购置</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16.67</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16.67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31003</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专用设备购置</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154.11</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154.11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31005</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基础设施建设</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31006</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大型修缮</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31007</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信息网络及软件购置更新</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82.68</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82.68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31008</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物资储备</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31009</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土地补偿</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31010</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安置补助</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31011</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地上附着物和青苗补偿</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31012</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拆迁补偿</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31013</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公务用车购置</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21.64</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31019</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其他交通工具购置</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31021</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文物和陈列品购置</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31022</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无形资产购置</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31099</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其他资本性支出</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312</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对企业补助</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31201</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资本金注入</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31203</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政府投资基金股权投资</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31204</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费用补贴</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31205</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利息补贴</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31299</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其他对企业补助</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399</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其他支出</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39906</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赠与</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39907</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国家赔偿费用支出</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39908</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对民间非营利组织和群众性自治组织补贴</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39999</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其他支出</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bl>
    <w:p>
      <w:pPr>
        <w:spacing w:before="78" w:line="292" w:lineRule="auto"/>
        <w:ind w:right="419" w:firstLine="200" w:firstLineChars="100"/>
        <w:rPr>
          <w:sz w:val="20"/>
          <w:szCs w:val="20"/>
          <w:highlight w:val="none"/>
        </w:rPr>
      </w:pPr>
      <w:r>
        <w:rPr>
          <w:sz w:val="20"/>
          <w:szCs w:val="20"/>
          <w:highlight w:val="none"/>
        </w:rPr>
        <w:t>注：</w:t>
      </w:r>
      <w:r>
        <w:rPr>
          <w:rFonts w:ascii="Times New Roman" w:eastAsia="Times New Roman"/>
          <w:sz w:val="20"/>
          <w:szCs w:val="20"/>
          <w:highlight w:val="none"/>
        </w:rPr>
        <w:t>1.</w:t>
      </w:r>
      <w:r>
        <w:rPr>
          <w:sz w:val="20"/>
          <w:szCs w:val="20"/>
          <w:highlight w:val="none"/>
        </w:rPr>
        <w:t>本表反映部门本年度按经济分类财政拨款基本支出明细情况。财政拨款指一般公共预算财政拨款、政府性基金预算财政拨款和国有资本经营预算财政拨款。</w:t>
      </w:r>
    </w:p>
    <w:p>
      <w:pPr>
        <w:spacing w:line="255" w:lineRule="exact"/>
        <w:ind w:left="629"/>
        <w:rPr>
          <w:rFonts w:ascii="Times New Roman"/>
          <w:sz w:val="20"/>
          <w:highlight w:val="none"/>
        </w:rPr>
        <w:sectPr>
          <w:pgSz w:w="16840" w:h="11910" w:orient="landscape"/>
          <w:pgMar w:top="1100" w:right="1320" w:bottom="280" w:left="1320" w:header="720" w:footer="720" w:gutter="0"/>
          <w:cols w:space="720" w:num="1"/>
        </w:sectPr>
      </w:pPr>
      <w:r>
        <w:rPr>
          <w:rFonts w:ascii="Times New Roman" w:hAnsi="Times New Roman" w:eastAsia="Times New Roman"/>
          <w:sz w:val="20"/>
          <w:szCs w:val="20"/>
          <w:highlight w:val="none"/>
        </w:rPr>
        <w:t>2.“</w:t>
      </w:r>
      <w:r>
        <w:rPr>
          <w:sz w:val="20"/>
          <w:szCs w:val="20"/>
          <w:highlight w:val="none"/>
        </w:rPr>
        <w:t>科目编码</w:t>
      </w:r>
      <w:r>
        <w:rPr>
          <w:rFonts w:ascii="Times New Roman" w:hAnsi="Times New Roman" w:eastAsia="Times New Roman"/>
          <w:sz w:val="20"/>
          <w:szCs w:val="20"/>
          <w:highlight w:val="none"/>
        </w:rPr>
        <w:t>”</w:t>
      </w:r>
      <w:r>
        <w:rPr>
          <w:sz w:val="20"/>
          <w:szCs w:val="20"/>
          <w:highlight w:val="none"/>
        </w:rPr>
        <w:t>和</w:t>
      </w:r>
      <w:r>
        <w:rPr>
          <w:rFonts w:ascii="Times New Roman" w:hAnsi="Times New Roman" w:eastAsia="Times New Roman"/>
          <w:sz w:val="20"/>
          <w:szCs w:val="20"/>
          <w:highlight w:val="none"/>
        </w:rPr>
        <w:t>“</w:t>
      </w:r>
      <w:r>
        <w:rPr>
          <w:sz w:val="20"/>
          <w:szCs w:val="20"/>
          <w:highlight w:val="none"/>
        </w:rPr>
        <w:t>科目名称</w:t>
      </w:r>
      <w:r>
        <w:rPr>
          <w:rFonts w:ascii="Times New Roman" w:hAnsi="Times New Roman" w:eastAsia="Times New Roman"/>
          <w:sz w:val="20"/>
          <w:szCs w:val="20"/>
          <w:highlight w:val="none"/>
        </w:rPr>
        <w:t>”</w:t>
      </w:r>
      <w:r>
        <w:rPr>
          <w:sz w:val="20"/>
          <w:szCs w:val="20"/>
          <w:highlight w:val="none"/>
        </w:rPr>
        <w:t>均为必填项。</w:t>
      </w:r>
    </w:p>
    <w:p>
      <w:pPr>
        <w:pStyle w:val="2"/>
        <w:rPr>
          <w:sz w:val="22"/>
          <w:highlight w:val="none"/>
        </w:rPr>
      </w:pPr>
    </w:p>
    <w:p>
      <w:pPr>
        <w:pStyle w:val="2"/>
        <w:spacing w:before="9"/>
        <w:rPr>
          <w:sz w:val="19"/>
          <w:highlight w:val="none"/>
        </w:rPr>
      </w:pPr>
    </w:p>
    <w:p>
      <w:pPr>
        <w:ind w:left="1"/>
        <w:jc w:val="center"/>
        <w:rPr>
          <w:sz w:val="40"/>
          <w:highlight w:val="none"/>
        </w:rPr>
      </w:pPr>
      <w:r>
        <w:rPr>
          <w:sz w:val="40"/>
          <w:highlight w:val="none"/>
        </w:rPr>
        <w:t>一般公共预算支出决算表（功能科目）</w:t>
      </w:r>
    </w:p>
    <w:p>
      <w:pPr>
        <w:pStyle w:val="2"/>
        <w:spacing w:before="11"/>
        <w:rPr>
          <w:sz w:val="33"/>
          <w:highlight w:val="none"/>
        </w:rPr>
      </w:pPr>
    </w:p>
    <w:p>
      <w:pPr>
        <w:ind w:right="612"/>
        <w:jc w:val="right"/>
        <w:rPr>
          <w:sz w:val="20"/>
          <w:highlight w:val="none"/>
        </w:rPr>
      </w:pPr>
      <w:r>
        <w:rPr>
          <w:spacing w:val="-18"/>
          <w:sz w:val="20"/>
          <w:highlight w:val="none"/>
        </w:rPr>
        <w:t xml:space="preserve">公开 </w:t>
      </w:r>
      <w:r>
        <w:rPr>
          <w:rFonts w:ascii="Times New Roman" w:eastAsia="Times New Roman"/>
          <w:sz w:val="20"/>
          <w:highlight w:val="none"/>
        </w:rPr>
        <w:t xml:space="preserve">07 </w:t>
      </w:r>
      <w:r>
        <w:rPr>
          <w:sz w:val="20"/>
          <w:highlight w:val="none"/>
        </w:rPr>
        <w:t>表</w:t>
      </w:r>
    </w:p>
    <w:p>
      <w:pPr>
        <w:pStyle w:val="2"/>
        <w:spacing w:before="9"/>
        <w:rPr>
          <w:sz w:val="16"/>
          <w:highlight w:val="none"/>
        </w:rPr>
      </w:pPr>
    </w:p>
    <w:p>
      <w:pPr>
        <w:tabs>
          <w:tab w:val="left" w:pos="11567"/>
        </w:tabs>
        <w:spacing w:after="33"/>
        <w:ind w:right="615"/>
        <w:jc w:val="right"/>
        <w:rPr>
          <w:sz w:val="20"/>
          <w:highlight w:val="none"/>
        </w:rPr>
      </w:pPr>
      <w:r>
        <w:rPr>
          <w:sz w:val="20"/>
          <w:highlight w:val="none"/>
        </w:rPr>
        <w:t>部门名称：</w:t>
      </w:r>
      <w:r>
        <w:rPr>
          <w:rFonts w:hint="eastAsia" w:ascii="Times New Roman"/>
          <w:sz w:val="20"/>
          <w:highlight w:val="none"/>
          <w:lang w:eastAsia="zh-CN"/>
        </w:rPr>
        <w:t>连云港市海州区人民检察院</w:t>
      </w:r>
      <w:r>
        <w:rPr>
          <w:rFonts w:ascii="Times New Roman" w:eastAsia="Times New Roman"/>
          <w:sz w:val="20"/>
          <w:highlight w:val="none"/>
        </w:rPr>
        <w:tab/>
      </w:r>
      <w:r>
        <w:rPr>
          <w:w w:val="95"/>
          <w:sz w:val="20"/>
          <w:highlight w:val="none"/>
        </w:rPr>
        <w:t>金额单位：万元</w:t>
      </w:r>
    </w:p>
    <w:tbl>
      <w:tblPr>
        <w:tblStyle w:val="8"/>
        <w:tblW w:w="0" w:type="auto"/>
        <w:tblInd w:w="5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9"/>
        <w:gridCol w:w="2181"/>
        <w:gridCol w:w="3218"/>
        <w:gridCol w:w="3220"/>
        <w:gridCol w:w="32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520" w:type="dxa"/>
            <w:gridSpan w:val="2"/>
          </w:tcPr>
          <w:p>
            <w:pPr>
              <w:pStyle w:val="16"/>
              <w:tabs>
                <w:tab w:val="left" w:pos="614"/>
              </w:tabs>
              <w:spacing w:before="30"/>
              <w:ind w:left="12"/>
              <w:jc w:val="center"/>
              <w:rPr>
                <w:sz w:val="20"/>
                <w:szCs w:val="20"/>
                <w:highlight w:val="none"/>
              </w:rPr>
            </w:pPr>
            <w:r>
              <w:rPr>
                <w:sz w:val="20"/>
                <w:szCs w:val="20"/>
                <w:highlight w:val="none"/>
              </w:rPr>
              <w:t>项</w:t>
            </w:r>
            <w:r>
              <w:rPr>
                <w:sz w:val="20"/>
                <w:szCs w:val="20"/>
                <w:highlight w:val="none"/>
              </w:rPr>
              <w:tab/>
            </w:r>
            <w:r>
              <w:rPr>
                <w:sz w:val="20"/>
                <w:szCs w:val="20"/>
                <w:highlight w:val="none"/>
              </w:rPr>
              <w:t>目</w:t>
            </w:r>
          </w:p>
        </w:tc>
        <w:tc>
          <w:tcPr>
            <w:tcW w:w="3218" w:type="dxa"/>
            <w:vMerge w:val="restart"/>
          </w:tcPr>
          <w:p>
            <w:pPr>
              <w:pStyle w:val="16"/>
              <w:spacing w:before="10"/>
              <w:rPr>
                <w:sz w:val="20"/>
                <w:szCs w:val="20"/>
                <w:highlight w:val="none"/>
              </w:rPr>
            </w:pPr>
          </w:p>
          <w:p>
            <w:pPr>
              <w:pStyle w:val="16"/>
              <w:spacing w:before="0"/>
              <w:ind w:left="1011"/>
              <w:rPr>
                <w:sz w:val="20"/>
                <w:szCs w:val="20"/>
                <w:highlight w:val="none"/>
              </w:rPr>
            </w:pPr>
            <w:r>
              <w:rPr>
                <w:sz w:val="20"/>
                <w:szCs w:val="20"/>
                <w:highlight w:val="none"/>
              </w:rPr>
              <w:t>本年支出合计</w:t>
            </w:r>
          </w:p>
        </w:tc>
        <w:tc>
          <w:tcPr>
            <w:tcW w:w="3220" w:type="dxa"/>
            <w:vMerge w:val="restart"/>
          </w:tcPr>
          <w:p>
            <w:pPr>
              <w:pStyle w:val="16"/>
              <w:spacing w:before="10"/>
              <w:rPr>
                <w:sz w:val="20"/>
                <w:szCs w:val="20"/>
                <w:highlight w:val="none"/>
              </w:rPr>
            </w:pPr>
          </w:p>
          <w:p>
            <w:pPr>
              <w:pStyle w:val="16"/>
              <w:spacing w:before="0"/>
              <w:ind w:left="1190" w:right="1176"/>
              <w:jc w:val="center"/>
              <w:rPr>
                <w:sz w:val="20"/>
                <w:szCs w:val="20"/>
                <w:highlight w:val="none"/>
              </w:rPr>
            </w:pPr>
            <w:r>
              <w:rPr>
                <w:sz w:val="20"/>
                <w:szCs w:val="20"/>
                <w:highlight w:val="none"/>
              </w:rPr>
              <w:t>基本支出</w:t>
            </w:r>
          </w:p>
        </w:tc>
        <w:tc>
          <w:tcPr>
            <w:tcW w:w="3220" w:type="dxa"/>
            <w:vMerge w:val="restart"/>
          </w:tcPr>
          <w:p>
            <w:pPr>
              <w:pStyle w:val="16"/>
              <w:spacing w:before="10"/>
              <w:rPr>
                <w:sz w:val="20"/>
                <w:szCs w:val="20"/>
                <w:highlight w:val="none"/>
              </w:rPr>
            </w:pPr>
          </w:p>
          <w:p>
            <w:pPr>
              <w:pStyle w:val="16"/>
              <w:spacing w:before="0"/>
              <w:ind w:left="1189" w:right="1178"/>
              <w:jc w:val="center"/>
              <w:rPr>
                <w:sz w:val="20"/>
                <w:szCs w:val="20"/>
                <w:highlight w:val="none"/>
              </w:rPr>
            </w:pPr>
            <w:r>
              <w:rPr>
                <w:sz w:val="20"/>
                <w:szCs w:val="20"/>
                <w:highlight w:val="none"/>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339" w:type="dxa"/>
          </w:tcPr>
          <w:p>
            <w:pPr>
              <w:pStyle w:val="16"/>
              <w:spacing w:before="32"/>
              <w:ind w:left="146" w:right="142"/>
              <w:jc w:val="center"/>
              <w:rPr>
                <w:sz w:val="20"/>
                <w:szCs w:val="20"/>
                <w:highlight w:val="none"/>
              </w:rPr>
            </w:pPr>
            <w:r>
              <w:rPr>
                <w:sz w:val="20"/>
                <w:szCs w:val="20"/>
                <w:highlight w:val="none"/>
              </w:rPr>
              <w:t>功能分类科</w:t>
            </w:r>
          </w:p>
          <w:p>
            <w:pPr>
              <w:pStyle w:val="16"/>
              <w:spacing w:before="56"/>
              <w:ind w:left="146" w:right="139"/>
              <w:jc w:val="center"/>
              <w:rPr>
                <w:sz w:val="20"/>
                <w:szCs w:val="20"/>
                <w:highlight w:val="none"/>
              </w:rPr>
            </w:pPr>
            <w:r>
              <w:rPr>
                <w:sz w:val="20"/>
                <w:szCs w:val="20"/>
                <w:highlight w:val="none"/>
              </w:rPr>
              <w:t>目编码</w:t>
            </w:r>
          </w:p>
        </w:tc>
        <w:tc>
          <w:tcPr>
            <w:tcW w:w="2181" w:type="dxa"/>
          </w:tcPr>
          <w:p>
            <w:pPr>
              <w:pStyle w:val="16"/>
              <w:spacing w:before="9"/>
              <w:rPr>
                <w:sz w:val="20"/>
                <w:szCs w:val="20"/>
                <w:highlight w:val="none"/>
              </w:rPr>
            </w:pPr>
          </w:p>
          <w:p>
            <w:pPr>
              <w:pStyle w:val="16"/>
              <w:spacing w:before="0"/>
              <w:ind w:left="688"/>
              <w:rPr>
                <w:sz w:val="20"/>
                <w:szCs w:val="20"/>
                <w:highlight w:val="none"/>
              </w:rPr>
            </w:pPr>
            <w:r>
              <w:rPr>
                <w:sz w:val="20"/>
                <w:szCs w:val="20"/>
                <w:highlight w:val="none"/>
              </w:rPr>
              <w:t>科目名称</w:t>
            </w:r>
          </w:p>
        </w:tc>
        <w:tc>
          <w:tcPr>
            <w:tcW w:w="3218" w:type="dxa"/>
            <w:vMerge w:val="continue"/>
            <w:tcBorders>
              <w:top w:val="nil"/>
            </w:tcBorders>
          </w:tcPr>
          <w:p>
            <w:pPr>
              <w:rPr>
                <w:sz w:val="20"/>
                <w:szCs w:val="20"/>
                <w:highlight w:val="none"/>
              </w:rPr>
            </w:pPr>
          </w:p>
        </w:tc>
        <w:tc>
          <w:tcPr>
            <w:tcW w:w="3220" w:type="dxa"/>
            <w:vMerge w:val="continue"/>
            <w:tcBorders>
              <w:top w:val="nil"/>
            </w:tcBorders>
          </w:tcPr>
          <w:p>
            <w:pPr>
              <w:rPr>
                <w:sz w:val="20"/>
                <w:szCs w:val="20"/>
                <w:highlight w:val="none"/>
              </w:rPr>
            </w:pPr>
          </w:p>
        </w:tc>
        <w:tc>
          <w:tcPr>
            <w:tcW w:w="3220" w:type="dxa"/>
            <w:vMerge w:val="continue"/>
            <w:tcBorders>
              <w:top w:val="nil"/>
            </w:tcBorders>
          </w:tcPr>
          <w:p>
            <w:pPr>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520" w:type="dxa"/>
            <w:gridSpan w:val="2"/>
          </w:tcPr>
          <w:p>
            <w:pPr>
              <w:pStyle w:val="16"/>
              <w:spacing w:before="30"/>
              <w:ind w:left="7"/>
              <w:jc w:val="center"/>
              <w:rPr>
                <w:sz w:val="20"/>
                <w:szCs w:val="20"/>
                <w:highlight w:val="none"/>
              </w:rPr>
            </w:pPr>
            <w:r>
              <w:rPr>
                <w:sz w:val="20"/>
                <w:szCs w:val="20"/>
                <w:highlight w:val="none"/>
              </w:rPr>
              <w:t>栏次</w:t>
            </w:r>
          </w:p>
        </w:tc>
        <w:tc>
          <w:tcPr>
            <w:tcW w:w="3218" w:type="dxa"/>
          </w:tcPr>
          <w:p>
            <w:pPr>
              <w:pStyle w:val="16"/>
              <w:spacing w:before="44"/>
              <w:ind w:right="1545"/>
              <w:jc w:val="right"/>
              <w:rPr>
                <w:rFonts w:ascii="Times New Roman"/>
                <w:sz w:val="20"/>
                <w:szCs w:val="20"/>
                <w:highlight w:val="none"/>
              </w:rPr>
            </w:pPr>
            <w:r>
              <w:rPr>
                <w:rFonts w:ascii="Times New Roman"/>
                <w:w w:val="99"/>
                <w:sz w:val="20"/>
                <w:szCs w:val="20"/>
                <w:highlight w:val="none"/>
              </w:rPr>
              <w:t>1</w:t>
            </w:r>
          </w:p>
        </w:tc>
        <w:tc>
          <w:tcPr>
            <w:tcW w:w="3220" w:type="dxa"/>
          </w:tcPr>
          <w:p>
            <w:pPr>
              <w:pStyle w:val="16"/>
              <w:spacing w:before="44"/>
              <w:ind w:right="1546"/>
              <w:jc w:val="right"/>
              <w:rPr>
                <w:rFonts w:ascii="Times New Roman"/>
                <w:sz w:val="20"/>
                <w:szCs w:val="20"/>
                <w:highlight w:val="none"/>
              </w:rPr>
            </w:pPr>
            <w:r>
              <w:rPr>
                <w:rFonts w:ascii="Times New Roman"/>
                <w:w w:val="99"/>
                <w:sz w:val="20"/>
                <w:szCs w:val="20"/>
                <w:highlight w:val="none"/>
              </w:rPr>
              <w:t>2</w:t>
            </w:r>
          </w:p>
        </w:tc>
        <w:tc>
          <w:tcPr>
            <w:tcW w:w="3220" w:type="dxa"/>
          </w:tcPr>
          <w:p>
            <w:pPr>
              <w:pStyle w:val="16"/>
              <w:spacing w:before="44"/>
              <w:ind w:right="1545"/>
              <w:jc w:val="right"/>
              <w:rPr>
                <w:rFonts w:ascii="Times New Roman"/>
                <w:sz w:val="20"/>
                <w:szCs w:val="20"/>
                <w:highlight w:val="none"/>
              </w:rPr>
            </w:pPr>
            <w:r>
              <w:rPr>
                <w:rFonts w:ascii="Times New Roman"/>
                <w:w w:val="99"/>
                <w:sz w:val="20"/>
                <w:szCs w:val="20"/>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520" w:type="dxa"/>
            <w:gridSpan w:val="2"/>
          </w:tcPr>
          <w:p>
            <w:pPr>
              <w:pStyle w:val="16"/>
              <w:spacing w:before="30"/>
              <w:ind w:left="7"/>
              <w:jc w:val="center"/>
              <w:rPr>
                <w:sz w:val="20"/>
                <w:szCs w:val="20"/>
                <w:highlight w:val="none"/>
              </w:rPr>
            </w:pPr>
            <w:r>
              <w:rPr>
                <w:sz w:val="20"/>
                <w:szCs w:val="20"/>
                <w:highlight w:val="none"/>
              </w:rPr>
              <w:t>合计</w:t>
            </w:r>
          </w:p>
        </w:tc>
        <w:tc>
          <w:tcPr>
            <w:tcW w:w="3218"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4,530.02</w:t>
            </w:r>
          </w:p>
        </w:tc>
        <w:tc>
          <w:tcPr>
            <w:tcW w:w="322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4,530.02</w:t>
            </w:r>
          </w:p>
        </w:tc>
        <w:tc>
          <w:tcPr>
            <w:tcW w:w="322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339"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204</w:t>
            </w:r>
          </w:p>
        </w:tc>
        <w:tc>
          <w:tcPr>
            <w:tcW w:w="2181"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公共安全支出</w:t>
            </w:r>
          </w:p>
        </w:tc>
        <w:tc>
          <w:tcPr>
            <w:tcW w:w="3218"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3,322.32</w:t>
            </w:r>
          </w:p>
        </w:tc>
        <w:tc>
          <w:tcPr>
            <w:tcW w:w="322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3,322.32</w:t>
            </w:r>
          </w:p>
        </w:tc>
        <w:tc>
          <w:tcPr>
            <w:tcW w:w="322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339"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20404</w:t>
            </w:r>
          </w:p>
        </w:tc>
        <w:tc>
          <w:tcPr>
            <w:tcW w:w="2181"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检察</w:t>
            </w:r>
          </w:p>
        </w:tc>
        <w:tc>
          <w:tcPr>
            <w:tcW w:w="3218"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3,322.32</w:t>
            </w:r>
          </w:p>
        </w:tc>
        <w:tc>
          <w:tcPr>
            <w:tcW w:w="322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3,322.32</w:t>
            </w:r>
          </w:p>
        </w:tc>
        <w:tc>
          <w:tcPr>
            <w:tcW w:w="322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339"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2040401</w:t>
            </w:r>
          </w:p>
        </w:tc>
        <w:tc>
          <w:tcPr>
            <w:tcW w:w="2181"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行政运行</w:t>
            </w:r>
          </w:p>
        </w:tc>
        <w:tc>
          <w:tcPr>
            <w:tcW w:w="3218"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2,920.73</w:t>
            </w:r>
          </w:p>
        </w:tc>
        <w:tc>
          <w:tcPr>
            <w:tcW w:w="322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2,920.73</w:t>
            </w:r>
          </w:p>
        </w:tc>
        <w:tc>
          <w:tcPr>
            <w:tcW w:w="322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339"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2040499</w:t>
            </w:r>
          </w:p>
        </w:tc>
        <w:tc>
          <w:tcPr>
            <w:tcW w:w="2181"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其他检察支出</w:t>
            </w:r>
          </w:p>
        </w:tc>
        <w:tc>
          <w:tcPr>
            <w:tcW w:w="3218"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401.59</w:t>
            </w:r>
          </w:p>
        </w:tc>
        <w:tc>
          <w:tcPr>
            <w:tcW w:w="322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401.59</w:t>
            </w:r>
          </w:p>
        </w:tc>
        <w:tc>
          <w:tcPr>
            <w:tcW w:w="322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339"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208</w:t>
            </w:r>
          </w:p>
        </w:tc>
        <w:tc>
          <w:tcPr>
            <w:tcW w:w="2181"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社会保障和就业支出</w:t>
            </w:r>
          </w:p>
        </w:tc>
        <w:tc>
          <w:tcPr>
            <w:tcW w:w="3218"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251.01</w:t>
            </w:r>
          </w:p>
        </w:tc>
        <w:tc>
          <w:tcPr>
            <w:tcW w:w="322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251.01</w:t>
            </w:r>
          </w:p>
        </w:tc>
        <w:tc>
          <w:tcPr>
            <w:tcW w:w="322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339"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20805</w:t>
            </w:r>
          </w:p>
        </w:tc>
        <w:tc>
          <w:tcPr>
            <w:tcW w:w="2181"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行政事业单位养老支出</w:t>
            </w:r>
          </w:p>
        </w:tc>
        <w:tc>
          <w:tcPr>
            <w:tcW w:w="3218"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251.01</w:t>
            </w:r>
          </w:p>
        </w:tc>
        <w:tc>
          <w:tcPr>
            <w:tcW w:w="322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251.01</w:t>
            </w:r>
          </w:p>
        </w:tc>
        <w:tc>
          <w:tcPr>
            <w:tcW w:w="322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339"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2080505</w:t>
            </w:r>
          </w:p>
        </w:tc>
        <w:tc>
          <w:tcPr>
            <w:tcW w:w="218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机关事业单位基本养老保险缴费支出</w:t>
            </w:r>
          </w:p>
        </w:tc>
        <w:tc>
          <w:tcPr>
            <w:tcW w:w="3218"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168.27</w:t>
            </w:r>
          </w:p>
        </w:tc>
        <w:tc>
          <w:tcPr>
            <w:tcW w:w="3220"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168.27</w:t>
            </w:r>
          </w:p>
        </w:tc>
        <w:tc>
          <w:tcPr>
            <w:tcW w:w="3220" w:type="dxa"/>
            <w:vAlign w:val="center"/>
          </w:tcPr>
          <w:p>
            <w:pPr>
              <w:keepNext w:val="0"/>
              <w:keepLines w:val="0"/>
              <w:widowControl/>
              <w:suppressLineNumbers w:val="0"/>
              <w:jc w:val="right"/>
              <w:textAlignment w:val="center"/>
              <w:rPr>
                <w:color w:val="FF0000"/>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339"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2080506</w:t>
            </w:r>
          </w:p>
        </w:tc>
        <w:tc>
          <w:tcPr>
            <w:tcW w:w="218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机关事业单位职业年金缴费支出</w:t>
            </w:r>
          </w:p>
        </w:tc>
        <w:tc>
          <w:tcPr>
            <w:tcW w:w="3218"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82.74</w:t>
            </w:r>
          </w:p>
        </w:tc>
        <w:tc>
          <w:tcPr>
            <w:tcW w:w="3220"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82.74</w:t>
            </w:r>
          </w:p>
        </w:tc>
        <w:tc>
          <w:tcPr>
            <w:tcW w:w="3220" w:type="dxa"/>
            <w:vAlign w:val="center"/>
          </w:tcPr>
          <w:p>
            <w:pPr>
              <w:keepNext w:val="0"/>
              <w:keepLines w:val="0"/>
              <w:widowControl/>
              <w:suppressLineNumbers w:val="0"/>
              <w:jc w:val="right"/>
              <w:textAlignment w:val="center"/>
              <w:rPr>
                <w:color w:val="FF0000"/>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339"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211</w:t>
            </w:r>
          </w:p>
        </w:tc>
        <w:tc>
          <w:tcPr>
            <w:tcW w:w="218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节能环保支出</w:t>
            </w:r>
          </w:p>
        </w:tc>
        <w:tc>
          <w:tcPr>
            <w:tcW w:w="3218"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3220"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3220" w:type="dxa"/>
            <w:vAlign w:val="center"/>
          </w:tcPr>
          <w:p>
            <w:pPr>
              <w:keepNext w:val="0"/>
              <w:keepLines w:val="0"/>
              <w:widowControl/>
              <w:suppressLineNumbers w:val="0"/>
              <w:jc w:val="right"/>
              <w:textAlignment w:val="center"/>
              <w:rPr>
                <w:color w:val="FF0000"/>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339"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21103</w:t>
            </w:r>
          </w:p>
        </w:tc>
        <w:tc>
          <w:tcPr>
            <w:tcW w:w="218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污染防治</w:t>
            </w:r>
          </w:p>
        </w:tc>
        <w:tc>
          <w:tcPr>
            <w:tcW w:w="3218"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3220"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3220" w:type="dxa"/>
            <w:vAlign w:val="center"/>
          </w:tcPr>
          <w:p>
            <w:pPr>
              <w:keepNext w:val="0"/>
              <w:keepLines w:val="0"/>
              <w:widowControl/>
              <w:suppressLineNumbers w:val="0"/>
              <w:jc w:val="right"/>
              <w:textAlignment w:val="center"/>
              <w:rPr>
                <w:color w:val="FF0000"/>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339"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2110399</w:t>
            </w:r>
          </w:p>
        </w:tc>
        <w:tc>
          <w:tcPr>
            <w:tcW w:w="218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其他污染防治支出</w:t>
            </w:r>
          </w:p>
        </w:tc>
        <w:tc>
          <w:tcPr>
            <w:tcW w:w="3218"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3220"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3220" w:type="dxa"/>
            <w:vAlign w:val="center"/>
          </w:tcPr>
          <w:p>
            <w:pPr>
              <w:keepNext w:val="0"/>
              <w:keepLines w:val="0"/>
              <w:widowControl/>
              <w:suppressLineNumbers w:val="0"/>
              <w:jc w:val="right"/>
              <w:textAlignment w:val="center"/>
              <w:rPr>
                <w:color w:val="FF0000"/>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33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221</w:t>
            </w:r>
          </w:p>
        </w:tc>
        <w:tc>
          <w:tcPr>
            <w:tcW w:w="21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住房保障支出</w:t>
            </w:r>
          </w:p>
        </w:tc>
        <w:tc>
          <w:tcPr>
            <w:tcW w:w="3218"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906.69</w:t>
            </w:r>
          </w:p>
        </w:tc>
        <w:tc>
          <w:tcPr>
            <w:tcW w:w="322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906.69</w:t>
            </w:r>
          </w:p>
        </w:tc>
        <w:tc>
          <w:tcPr>
            <w:tcW w:w="322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33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22102</w:t>
            </w:r>
          </w:p>
        </w:tc>
        <w:tc>
          <w:tcPr>
            <w:tcW w:w="21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住房改革支出</w:t>
            </w:r>
          </w:p>
        </w:tc>
        <w:tc>
          <w:tcPr>
            <w:tcW w:w="3218"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906.69</w:t>
            </w:r>
          </w:p>
        </w:tc>
        <w:tc>
          <w:tcPr>
            <w:tcW w:w="322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906.69</w:t>
            </w:r>
          </w:p>
        </w:tc>
        <w:tc>
          <w:tcPr>
            <w:tcW w:w="322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33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2210201</w:t>
            </w:r>
          </w:p>
        </w:tc>
        <w:tc>
          <w:tcPr>
            <w:tcW w:w="21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住房公积金</w:t>
            </w:r>
          </w:p>
        </w:tc>
        <w:tc>
          <w:tcPr>
            <w:tcW w:w="3218"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303.78</w:t>
            </w:r>
          </w:p>
        </w:tc>
        <w:tc>
          <w:tcPr>
            <w:tcW w:w="322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303.78</w:t>
            </w:r>
          </w:p>
        </w:tc>
        <w:tc>
          <w:tcPr>
            <w:tcW w:w="322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33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2210202</w:t>
            </w:r>
          </w:p>
        </w:tc>
        <w:tc>
          <w:tcPr>
            <w:tcW w:w="21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提租补贴</w:t>
            </w:r>
          </w:p>
        </w:tc>
        <w:tc>
          <w:tcPr>
            <w:tcW w:w="3218"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602.91</w:t>
            </w:r>
          </w:p>
        </w:tc>
        <w:tc>
          <w:tcPr>
            <w:tcW w:w="322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602.91</w:t>
            </w:r>
          </w:p>
        </w:tc>
        <w:tc>
          <w:tcPr>
            <w:tcW w:w="322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bl>
    <w:p>
      <w:pPr>
        <w:spacing w:before="25"/>
        <w:ind w:left="617"/>
        <w:rPr>
          <w:sz w:val="20"/>
          <w:highlight w:val="none"/>
        </w:rPr>
      </w:pPr>
      <w:r>
        <w:rPr>
          <w:sz w:val="20"/>
          <w:highlight w:val="none"/>
        </w:rPr>
        <w:t>注：</w:t>
      </w:r>
      <w:r>
        <w:rPr>
          <w:rFonts w:ascii="Times New Roman" w:eastAsia="Times New Roman"/>
          <w:sz w:val="20"/>
          <w:highlight w:val="none"/>
        </w:rPr>
        <w:t>1.</w:t>
      </w:r>
      <w:r>
        <w:rPr>
          <w:sz w:val="20"/>
          <w:highlight w:val="none"/>
        </w:rPr>
        <w:t>本表反映部门本年度按功能分类一般公共预算财政拨款实际支出情况。</w:t>
      </w:r>
    </w:p>
    <w:p>
      <w:pPr>
        <w:spacing w:before="56"/>
        <w:ind w:left="1018"/>
        <w:rPr>
          <w:sz w:val="20"/>
          <w:highlight w:val="none"/>
        </w:rPr>
      </w:pPr>
      <w:r>
        <w:rPr>
          <w:rFonts w:ascii="Times New Roman" w:hAnsi="Times New Roman" w:eastAsia="Times New Roman"/>
          <w:sz w:val="20"/>
          <w:highlight w:val="none"/>
        </w:rPr>
        <w:t>2.“</w:t>
      </w:r>
      <w:r>
        <w:rPr>
          <w:sz w:val="20"/>
          <w:highlight w:val="none"/>
        </w:rPr>
        <w:t>科目编码</w:t>
      </w:r>
      <w:r>
        <w:rPr>
          <w:rFonts w:ascii="Times New Roman" w:hAnsi="Times New Roman" w:eastAsia="Times New Roman"/>
          <w:sz w:val="20"/>
          <w:highlight w:val="none"/>
        </w:rPr>
        <w:t>”</w:t>
      </w:r>
      <w:r>
        <w:rPr>
          <w:sz w:val="20"/>
          <w:highlight w:val="none"/>
        </w:rPr>
        <w:t>和</w:t>
      </w:r>
      <w:r>
        <w:rPr>
          <w:rFonts w:ascii="Times New Roman" w:hAnsi="Times New Roman" w:eastAsia="Times New Roman"/>
          <w:sz w:val="20"/>
          <w:highlight w:val="none"/>
        </w:rPr>
        <w:t>“</w:t>
      </w:r>
      <w:r>
        <w:rPr>
          <w:sz w:val="20"/>
          <w:highlight w:val="none"/>
        </w:rPr>
        <w:t>科目名称</w:t>
      </w:r>
      <w:r>
        <w:rPr>
          <w:rFonts w:ascii="Times New Roman" w:hAnsi="Times New Roman" w:eastAsia="Times New Roman"/>
          <w:sz w:val="20"/>
          <w:highlight w:val="none"/>
        </w:rPr>
        <w:t>”</w:t>
      </w:r>
      <w:r>
        <w:rPr>
          <w:sz w:val="20"/>
          <w:highlight w:val="none"/>
        </w:rPr>
        <w:t>均为必填项。</w:t>
      </w:r>
    </w:p>
    <w:p>
      <w:pPr>
        <w:rPr>
          <w:sz w:val="20"/>
          <w:highlight w:val="none"/>
        </w:rPr>
        <w:sectPr>
          <w:pgSz w:w="16840" w:h="11910" w:orient="landscape"/>
          <w:pgMar w:top="1100" w:right="1320" w:bottom="280" w:left="1320" w:header="720" w:footer="720" w:gutter="0"/>
          <w:cols w:space="720" w:num="1"/>
        </w:sectPr>
      </w:pPr>
    </w:p>
    <w:p>
      <w:pPr>
        <w:pStyle w:val="2"/>
        <w:rPr>
          <w:sz w:val="20"/>
          <w:highlight w:val="none"/>
        </w:rPr>
      </w:pPr>
    </w:p>
    <w:p>
      <w:pPr>
        <w:pStyle w:val="2"/>
        <w:rPr>
          <w:sz w:val="20"/>
          <w:highlight w:val="none"/>
        </w:rPr>
      </w:pPr>
    </w:p>
    <w:p>
      <w:pPr>
        <w:pStyle w:val="2"/>
        <w:spacing w:before="5"/>
        <w:rPr>
          <w:sz w:val="27"/>
          <w:highlight w:val="none"/>
        </w:rPr>
      </w:pPr>
    </w:p>
    <w:p>
      <w:pPr>
        <w:pStyle w:val="12"/>
        <w:spacing w:before="51"/>
        <w:ind w:right="578"/>
        <w:rPr>
          <w:highlight w:val="none"/>
        </w:rPr>
      </w:pPr>
      <w:r>
        <w:rPr>
          <w:highlight w:val="none"/>
        </w:rPr>
        <w:t>一般公共预算基本支出决算表（经济科目）</w:t>
      </w:r>
    </w:p>
    <w:p>
      <w:pPr>
        <w:pStyle w:val="2"/>
        <w:spacing w:before="8"/>
        <w:rPr>
          <w:sz w:val="29"/>
          <w:highlight w:val="none"/>
        </w:rPr>
      </w:pPr>
    </w:p>
    <w:p>
      <w:pPr>
        <w:spacing w:before="78"/>
        <w:ind w:right="977"/>
        <w:jc w:val="right"/>
        <w:rPr>
          <w:sz w:val="20"/>
          <w:highlight w:val="none"/>
        </w:rPr>
      </w:pPr>
      <w:r>
        <w:rPr>
          <w:spacing w:val="-18"/>
          <w:sz w:val="20"/>
          <w:highlight w:val="none"/>
        </w:rPr>
        <w:t xml:space="preserve">公开 </w:t>
      </w:r>
      <w:r>
        <w:rPr>
          <w:rFonts w:ascii="Times New Roman" w:eastAsia="Times New Roman"/>
          <w:sz w:val="20"/>
          <w:highlight w:val="none"/>
        </w:rPr>
        <w:t xml:space="preserve">08 </w:t>
      </w:r>
      <w:r>
        <w:rPr>
          <w:sz w:val="20"/>
          <w:highlight w:val="none"/>
        </w:rPr>
        <w:t>表</w:t>
      </w:r>
    </w:p>
    <w:p>
      <w:pPr>
        <w:pStyle w:val="2"/>
        <w:spacing w:before="9"/>
        <w:rPr>
          <w:sz w:val="16"/>
          <w:highlight w:val="none"/>
        </w:rPr>
      </w:pPr>
    </w:p>
    <w:p>
      <w:pPr>
        <w:tabs>
          <w:tab w:val="left" w:pos="11590"/>
        </w:tabs>
        <w:spacing w:after="35"/>
        <w:ind w:right="980"/>
        <w:jc w:val="right"/>
        <w:rPr>
          <w:sz w:val="20"/>
          <w:highlight w:val="none"/>
        </w:rPr>
      </w:pPr>
      <w:r>
        <w:rPr>
          <w:sz w:val="20"/>
          <w:highlight w:val="none"/>
        </w:rPr>
        <w:t>部门名称：</w:t>
      </w:r>
      <w:r>
        <w:rPr>
          <w:rFonts w:hint="eastAsia" w:ascii="Times New Roman"/>
          <w:sz w:val="20"/>
          <w:highlight w:val="none"/>
          <w:lang w:eastAsia="zh-CN"/>
        </w:rPr>
        <w:t>连云港市海州区人民检察院</w:t>
      </w:r>
      <w:r>
        <w:rPr>
          <w:rFonts w:ascii="Times New Roman" w:eastAsia="Times New Roman"/>
          <w:sz w:val="20"/>
          <w:highlight w:val="none"/>
        </w:rPr>
        <w:tab/>
      </w:r>
      <w:r>
        <w:rPr>
          <w:w w:val="95"/>
          <w:sz w:val="20"/>
          <w:highlight w:val="none"/>
        </w:rPr>
        <w:t>金额单位：万元</w:t>
      </w:r>
    </w:p>
    <w:tbl>
      <w:tblPr>
        <w:tblStyle w:val="8"/>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0"/>
        <w:gridCol w:w="3125"/>
        <w:gridCol w:w="2836"/>
        <w:gridCol w:w="2572"/>
        <w:gridCol w:w="3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395" w:type="dxa"/>
            <w:gridSpan w:val="2"/>
          </w:tcPr>
          <w:p>
            <w:pPr>
              <w:pStyle w:val="16"/>
              <w:tabs>
                <w:tab w:val="left" w:pos="614"/>
              </w:tabs>
              <w:spacing w:before="28"/>
              <w:ind w:left="12"/>
              <w:jc w:val="center"/>
              <w:rPr>
                <w:sz w:val="20"/>
                <w:highlight w:val="none"/>
              </w:rPr>
            </w:pPr>
            <w:r>
              <w:rPr>
                <w:sz w:val="20"/>
                <w:highlight w:val="none"/>
              </w:rPr>
              <w:t>项</w:t>
            </w:r>
            <w:r>
              <w:rPr>
                <w:sz w:val="20"/>
                <w:highlight w:val="none"/>
              </w:rPr>
              <w:tab/>
            </w:r>
            <w:r>
              <w:rPr>
                <w:sz w:val="20"/>
                <w:highlight w:val="none"/>
              </w:rPr>
              <w:t>目</w:t>
            </w:r>
          </w:p>
        </w:tc>
        <w:tc>
          <w:tcPr>
            <w:tcW w:w="8808" w:type="dxa"/>
            <w:gridSpan w:val="3"/>
          </w:tcPr>
          <w:p>
            <w:pPr>
              <w:pStyle w:val="16"/>
              <w:spacing w:before="28"/>
              <w:ind w:left="2984" w:right="2974"/>
              <w:jc w:val="center"/>
              <w:rPr>
                <w:sz w:val="20"/>
                <w:highlight w:val="none"/>
              </w:rPr>
            </w:pPr>
            <w:r>
              <w:rPr>
                <w:sz w:val="20"/>
                <w:highlight w:val="none"/>
              </w:rPr>
              <w:t>一般公共预算财政拨款基本支出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270" w:type="dxa"/>
          </w:tcPr>
          <w:p>
            <w:pPr>
              <w:pStyle w:val="16"/>
              <w:spacing w:before="6"/>
              <w:rPr>
                <w:sz w:val="20"/>
                <w:szCs w:val="20"/>
                <w:highlight w:val="none"/>
              </w:rPr>
            </w:pPr>
          </w:p>
          <w:p>
            <w:pPr>
              <w:pStyle w:val="16"/>
              <w:spacing w:before="0" w:line="292" w:lineRule="auto"/>
              <w:ind w:left="333" w:right="125" w:hanging="200"/>
              <w:rPr>
                <w:sz w:val="20"/>
                <w:szCs w:val="20"/>
                <w:highlight w:val="none"/>
              </w:rPr>
            </w:pPr>
            <w:r>
              <w:rPr>
                <w:sz w:val="20"/>
                <w:szCs w:val="20"/>
                <w:highlight w:val="none"/>
              </w:rPr>
              <w:t>经济分类科目编码</w:t>
            </w:r>
          </w:p>
        </w:tc>
        <w:tc>
          <w:tcPr>
            <w:tcW w:w="3125" w:type="dxa"/>
          </w:tcPr>
          <w:p>
            <w:pPr>
              <w:pStyle w:val="16"/>
              <w:spacing w:before="8"/>
              <w:rPr>
                <w:sz w:val="20"/>
                <w:szCs w:val="20"/>
                <w:highlight w:val="none"/>
              </w:rPr>
            </w:pPr>
          </w:p>
          <w:p>
            <w:pPr>
              <w:pStyle w:val="16"/>
              <w:spacing w:before="0"/>
              <w:ind w:left="1142" w:right="1133"/>
              <w:jc w:val="center"/>
              <w:rPr>
                <w:sz w:val="20"/>
                <w:szCs w:val="20"/>
                <w:highlight w:val="none"/>
              </w:rPr>
            </w:pPr>
            <w:r>
              <w:rPr>
                <w:sz w:val="20"/>
                <w:szCs w:val="20"/>
                <w:highlight w:val="none"/>
              </w:rPr>
              <w:t>科目名称</w:t>
            </w:r>
          </w:p>
        </w:tc>
        <w:tc>
          <w:tcPr>
            <w:tcW w:w="2836" w:type="dxa"/>
          </w:tcPr>
          <w:p>
            <w:pPr>
              <w:pStyle w:val="16"/>
              <w:spacing w:before="8"/>
              <w:rPr>
                <w:sz w:val="20"/>
                <w:szCs w:val="20"/>
                <w:highlight w:val="none"/>
              </w:rPr>
            </w:pPr>
          </w:p>
          <w:p>
            <w:pPr>
              <w:pStyle w:val="16"/>
              <w:spacing w:before="0"/>
              <w:ind w:left="1196" w:right="1190"/>
              <w:jc w:val="center"/>
              <w:rPr>
                <w:sz w:val="20"/>
                <w:szCs w:val="20"/>
                <w:highlight w:val="none"/>
              </w:rPr>
            </w:pPr>
            <w:r>
              <w:rPr>
                <w:sz w:val="20"/>
                <w:szCs w:val="20"/>
                <w:highlight w:val="none"/>
              </w:rPr>
              <w:t>合计</w:t>
            </w:r>
          </w:p>
        </w:tc>
        <w:tc>
          <w:tcPr>
            <w:tcW w:w="2572" w:type="dxa"/>
          </w:tcPr>
          <w:p>
            <w:pPr>
              <w:pStyle w:val="16"/>
              <w:spacing w:before="8"/>
              <w:rPr>
                <w:sz w:val="20"/>
                <w:szCs w:val="20"/>
                <w:highlight w:val="none"/>
              </w:rPr>
            </w:pPr>
          </w:p>
          <w:p>
            <w:pPr>
              <w:pStyle w:val="16"/>
              <w:spacing w:before="0"/>
              <w:ind w:left="863" w:right="859"/>
              <w:jc w:val="center"/>
              <w:rPr>
                <w:sz w:val="20"/>
                <w:szCs w:val="20"/>
                <w:highlight w:val="none"/>
              </w:rPr>
            </w:pPr>
            <w:r>
              <w:rPr>
                <w:sz w:val="20"/>
                <w:szCs w:val="20"/>
                <w:highlight w:val="none"/>
              </w:rPr>
              <w:t>人员经费</w:t>
            </w:r>
          </w:p>
        </w:tc>
        <w:tc>
          <w:tcPr>
            <w:tcW w:w="3400" w:type="dxa"/>
          </w:tcPr>
          <w:p>
            <w:pPr>
              <w:pStyle w:val="16"/>
              <w:spacing w:before="8"/>
              <w:rPr>
                <w:sz w:val="20"/>
                <w:szCs w:val="20"/>
                <w:highlight w:val="none"/>
              </w:rPr>
            </w:pPr>
          </w:p>
          <w:p>
            <w:pPr>
              <w:pStyle w:val="16"/>
              <w:spacing w:before="0"/>
              <w:ind w:left="1281" w:right="1269"/>
              <w:jc w:val="center"/>
              <w:rPr>
                <w:sz w:val="20"/>
                <w:szCs w:val="20"/>
                <w:highlight w:val="none"/>
              </w:rPr>
            </w:pPr>
            <w:r>
              <w:rPr>
                <w:sz w:val="20"/>
                <w:szCs w:val="20"/>
                <w:highlight w:val="none"/>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4395" w:type="dxa"/>
            <w:gridSpan w:val="2"/>
          </w:tcPr>
          <w:p>
            <w:pPr>
              <w:pStyle w:val="16"/>
              <w:spacing w:before="30"/>
              <w:ind w:left="7"/>
              <w:jc w:val="center"/>
              <w:rPr>
                <w:sz w:val="20"/>
                <w:szCs w:val="20"/>
                <w:highlight w:val="none"/>
              </w:rPr>
            </w:pPr>
            <w:bookmarkStart w:id="0" w:name="_GoBack" w:colFirst="2" w:colLast="4"/>
            <w:r>
              <w:rPr>
                <w:sz w:val="20"/>
                <w:szCs w:val="20"/>
                <w:highlight w:val="none"/>
              </w:rPr>
              <w:t>合计</w:t>
            </w:r>
          </w:p>
        </w:tc>
        <w:tc>
          <w:tcPr>
            <w:tcW w:w="2836" w:type="dxa"/>
          </w:tcPr>
          <w:p>
            <w:pPr>
              <w:pStyle w:val="16"/>
              <w:spacing w:before="30"/>
              <w:ind w:left="106"/>
              <w:jc w:val="right"/>
              <w:rPr>
                <w:rFonts w:hint="default" w:eastAsia="宋体"/>
                <w:sz w:val="20"/>
                <w:szCs w:val="20"/>
                <w:highlight w:val="yellow"/>
                <w:lang w:val="en-US" w:eastAsia="zh-CN"/>
              </w:rPr>
            </w:pPr>
            <w:r>
              <w:rPr>
                <w:w w:val="99"/>
                <w:sz w:val="20"/>
                <w:szCs w:val="20"/>
                <w:highlight w:val="yellow"/>
              </w:rPr>
              <w:t xml:space="preserve"> </w:t>
            </w:r>
            <w:r>
              <w:rPr>
                <w:rFonts w:hint="eastAsia"/>
                <w:w w:val="99"/>
                <w:sz w:val="20"/>
                <w:szCs w:val="20"/>
                <w:highlight w:val="yellow"/>
                <w:lang w:val="en-US" w:eastAsia="zh-CN"/>
              </w:rPr>
              <w:t>4530.02</w:t>
            </w:r>
          </w:p>
        </w:tc>
        <w:tc>
          <w:tcPr>
            <w:tcW w:w="2572" w:type="dxa"/>
          </w:tcPr>
          <w:p>
            <w:pPr>
              <w:pStyle w:val="16"/>
              <w:spacing w:before="0"/>
              <w:jc w:val="right"/>
              <w:rPr>
                <w:rFonts w:hint="default" w:ascii="Times New Roman" w:eastAsia="宋体"/>
                <w:sz w:val="20"/>
                <w:szCs w:val="20"/>
                <w:highlight w:val="yellow"/>
                <w:lang w:val="en-US" w:eastAsia="zh-CN"/>
              </w:rPr>
            </w:pPr>
            <w:r>
              <w:rPr>
                <w:rFonts w:hint="eastAsia" w:ascii="Times New Roman"/>
                <w:sz w:val="20"/>
                <w:szCs w:val="20"/>
                <w:highlight w:val="yellow"/>
                <w:lang w:val="en-US" w:eastAsia="zh-CN"/>
              </w:rPr>
              <w:t>3441.35</w:t>
            </w:r>
          </w:p>
        </w:tc>
        <w:tc>
          <w:tcPr>
            <w:tcW w:w="3400" w:type="dxa"/>
          </w:tcPr>
          <w:p>
            <w:pPr>
              <w:pStyle w:val="16"/>
              <w:spacing w:before="0"/>
              <w:jc w:val="right"/>
              <w:rPr>
                <w:rFonts w:hint="default" w:ascii="Times New Roman" w:eastAsia="宋体"/>
                <w:sz w:val="20"/>
                <w:szCs w:val="20"/>
                <w:highlight w:val="yellow"/>
                <w:lang w:val="en-US" w:eastAsia="zh-CN"/>
              </w:rPr>
            </w:pPr>
            <w:r>
              <w:rPr>
                <w:rFonts w:hint="eastAsia" w:ascii="Times New Roman"/>
                <w:sz w:val="20"/>
                <w:szCs w:val="20"/>
                <w:highlight w:val="yellow"/>
                <w:lang w:val="en-US" w:eastAsia="zh-CN"/>
              </w:rPr>
              <w:t>1088.67</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ascii="Times New Roman"/>
                <w:b/>
                <w:sz w:val="20"/>
                <w:szCs w:val="20"/>
                <w:highlight w:val="none"/>
              </w:rPr>
            </w:pPr>
            <w:r>
              <w:rPr>
                <w:rFonts w:hint="eastAsia" w:ascii="宋体" w:hAnsi="宋体" w:eastAsia="宋体" w:cs="宋体"/>
                <w:b/>
                <w:i w:val="0"/>
                <w:color w:val="000000"/>
                <w:kern w:val="0"/>
                <w:sz w:val="20"/>
                <w:szCs w:val="20"/>
                <w:highlight w:val="none"/>
                <w:u w:val="none"/>
                <w:lang w:val="en-US" w:eastAsia="zh-CN" w:bidi="ar"/>
              </w:rPr>
              <w:t>301</w:t>
            </w:r>
          </w:p>
        </w:tc>
        <w:tc>
          <w:tcPr>
            <w:tcW w:w="3125" w:type="dxa"/>
            <w:vAlign w:val="center"/>
          </w:tcPr>
          <w:p>
            <w:pPr>
              <w:keepNext w:val="0"/>
              <w:keepLines w:val="0"/>
              <w:widowControl/>
              <w:suppressLineNumbers w:val="0"/>
              <w:jc w:val="left"/>
              <w:textAlignment w:val="center"/>
              <w:rPr>
                <w:b/>
                <w:sz w:val="20"/>
                <w:szCs w:val="20"/>
                <w:highlight w:val="none"/>
              </w:rPr>
            </w:pPr>
            <w:r>
              <w:rPr>
                <w:rFonts w:hint="eastAsia" w:ascii="宋体" w:hAnsi="宋体" w:eastAsia="宋体" w:cs="宋体"/>
                <w:b/>
                <w:i w:val="0"/>
                <w:color w:val="000000"/>
                <w:kern w:val="0"/>
                <w:sz w:val="20"/>
                <w:szCs w:val="20"/>
                <w:highlight w:val="none"/>
                <w:u w:val="none"/>
                <w:lang w:val="en-US" w:eastAsia="zh-CN" w:bidi="ar"/>
              </w:rPr>
              <w:t xml:space="preserve"> 工资福利支出</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3,243.58</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3,243.58</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30101</w:t>
            </w:r>
          </w:p>
        </w:tc>
        <w:tc>
          <w:tcPr>
            <w:tcW w:w="3125"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基本工资</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485.87</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485.87</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270" w:type="dxa"/>
            <w:vAlign w:val="center"/>
          </w:tcPr>
          <w:p>
            <w:pPr>
              <w:keepNext w:val="0"/>
              <w:keepLines w:val="0"/>
              <w:widowControl/>
              <w:suppressLineNumbers w:val="0"/>
              <w:jc w:val="left"/>
              <w:textAlignment w:val="center"/>
              <w:rPr>
                <w:rFonts w:ascii="Times New Roman" w:hAns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30102</w:t>
            </w:r>
          </w:p>
        </w:tc>
        <w:tc>
          <w:tcPr>
            <w:tcW w:w="3125" w:type="dxa"/>
            <w:vAlign w:val="center"/>
          </w:tcPr>
          <w:p>
            <w:pPr>
              <w:keepNext w:val="0"/>
              <w:keepLines w:val="0"/>
              <w:widowControl/>
              <w:suppressLineNumbers w:val="0"/>
              <w:jc w:val="left"/>
              <w:textAlignment w:val="center"/>
              <w:rPr>
                <w:rFonts w:ascii="Times New Roman" w:hAns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津贴补贴</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1,272.66</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1,272.66</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ascii="Times New Roman"/>
                <w:b/>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30103</w:t>
            </w:r>
          </w:p>
        </w:tc>
        <w:tc>
          <w:tcPr>
            <w:tcW w:w="3125" w:type="dxa"/>
            <w:vAlign w:val="center"/>
          </w:tcPr>
          <w:p>
            <w:pPr>
              <w:keepNext w:val="0"/>
              <w:keepLines w:val="0"/>
              <w:widowControl/>
              <w:suppressLineNumbers w:val="0"/>
              <w:jc w:val="left"/>
              <w:textAlignment w:val="center"/>
              <w:rPr>
                <w:b/>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奖金</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650.46</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650.46</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70" w:type="dxa"/>
            <w:vAlign w:val="center"/>
          </w:tcPr>
          <w:p>
            <w:pPr>
              <w:keepNext w:val="0"/>
              <w:keepLines w:val="0"/>
              <w:widowControl/>
              <w:suppressLineNumbers w:val="0"/>
              <w:jc w:val="lef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30106</w:t>
            </w:r>
          </w:p>
        </w:tc>
        <w:tc>
          <w:tcPr>
            <w:tcW w:w="3125"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伙食补助费</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35.64</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35.64</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ascii="Times New Roman" w:hAns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30107</w:t>
            </w:r>
          </w:p>
        </w:tc>
        <w:tc>
          <w:tcPr>
            <w:tcW w:w="3125" w:type="dxa"/>
            <w:vAlign w:val="center"/>
          </w:tcPr>
          <w:p>
            <w:pPr>
              <w:keepNext w:val="0"/>
              <w:keepLines w:val="0"/>
              <w:widowControl/>
              <w:suppressLineNumbers w:val="0"/>
              <w:jc w:val="left"/>
              <w:textAlignment w:val="center"/>
              <w:rPr>
                <w:rFonts w:ascii="Times New Roman" w:hAns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绩效工资</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ascii="Times New Roman"/>
                <w:b/>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30108</w:t>
            </w:r>
          </w:p>
        </w:tc>
        <w:tc>
          <w:tcPr>
            <w:tcW w:w="3125" w:type="dxa"/>
            <w:vAlign w:val="center"/>
          </w:tcPr>
          <w:p>
            <w:pPr>
              <w:keepNext w:val="0"/>
              <w:keepLines w:val="0"/>
              <w:widowControl/>
              <w:suppressLineNumbers w:val="0"/>
              <w:jc w:val="left"/>
              <w:textAlignment w:val="center"/>
              <w:rPr>
                <w:b/>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机关事业单位基本养老保险缴费</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168.27</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168.27</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30109</w:t>
            </w:r>
          </w:p>
        </w:tc>
        <w:tc>
          <w:tcPr>
            <w:tcW w:w="3125"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职业年金缴费</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82.74</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82.74</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ascii="Times New Roman" w:hAns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30110</w:t>
            </w:r>
          </w:p>
        </w:tc>
        <w:tc>
          <w:tcPr>
            <w:tcW w:w="3125" w:type="dxa"/>
            <w:vAlign w:val="center"/>
          </w:tcPr>
          <w:p>
            <w:pPr>
              <w:keepNext w:val="0"/>
              <w:keepLines w:val="0"/>
              <w:widowControl/>
              <w:suppressLineNumbers w:val="0"/>
              <w:jc w:val="left"/>
              <w:textAlignment w:val="center"/>
              <w:rPr>
                <w:rFonts w:ascii="Times New Roman" w:hAns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职工基本医疗保险缴费</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61.55</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61.55</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ascii="Times New Roman"/>
                <w:b/>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30111</w:t>
            </w:r>
          </w:p>
        </w:tc>
        <w:tc>
          <w:tcPr>
            <w:tcW w:w="3125" w:type="dxa"/>
            <w:vAlign w:val="center"/>
          </w:tcPr>
          <w:p>
            <w:pPr>
              <w:keepNext w:val="0"/>
              <w:keepLines w:val="0"/>
              <w:widowControl/>
              <w:suppressLineNumbers w:val="0"/>
              <w:jc w:val="left"/>
              <w:textAlignment w:val="center"/>
              <w:rPr>
                <w:b/>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公务员医疗补助缴费</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49.35</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49.35</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270" w:type="dxa"/>
            <w:vAlign w:val="center"/>
          </w:tcPr>
          <w:p>
            <w:pPr>
              <w:keepNext w:val="0"/>
              <w:keepLines w:val="0"/>
              <w:widowControl/>
              <w:suppressLineNumbers w:val="0"/>
              <w:jc w:val="left"/>
              <w:textAlignment w:val="center"/>
              <w:rPr>
                <w:rFonts w:ascii="Times New Roman" w:hAns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30112</w:t>
            </w:r>
          </w:p>
        </w:tc>
        <w:tc>
          <w:tcPr>
            <w:tcW w:w="3125" w:type="dxa"/>
            <w:vAlign w:val="center"/>
          </w:tcPr>
          <w:p>
            <w:pPr>
              <w:keepNext w:val="0"/>
              <w:keepLines w:val="0"/>
              <w:widowControl/>
              <w:suppressLineNumbers w:val="0"/>
              <w:jc w:val="left"/>
              <w:textAlignment w:val="center"/>
              <w:rPr>
                <w:rFonts w:ascii="Times New Roman" w:hAns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其他社会保障缴费</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9.92</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9.92</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30113</w:t>
            </w:r>
          </w:p>
        </w:tc>
        <w:tc>
          <w:tcPr>
            <w:tcW w:w="3125"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住房公积金</w:t>
            </w:r>
          </w:p>
        </w:tc>
        <w:tc>
          <w:tcPr>
            <w:tcW w:w="2836"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303.78</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303.78</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30114</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医疗费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30199</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其他工资福利支出</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123.34</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123.34</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302</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商品和服务支出</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813.56</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813.56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30201</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办公费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152.05</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152.05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30202</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印刷费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3.45</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3.45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30203</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咨询费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30204</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手续费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30205</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水费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1.73</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30206</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电费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26.67</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26.67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30207</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邮电费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46.87</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46.87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30208</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取暖费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30209</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物业管理费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17.25</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17.25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30211</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差旅费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22.90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22.90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30212</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因公出国（境）费用</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30213</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维修（护）费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119.35</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119.35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30214</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租赁费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30215</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会议费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0.18</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30216</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培训费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4.68</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30217</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公务接待费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30218</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专用材料费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30224</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被装购置费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30225</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专用燃料费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30226</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劳务费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189.83</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189.83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30227</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委托业务费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30228</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工会经费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40.20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40.20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30229</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福利费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30231</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公务用车运行维护费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24.53</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24.53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30239</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其他交通费用</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30240</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税金及附加费用</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30299</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其他商品和服务支出</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113.87</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113.87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303</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对个人和家庭的补助</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197.77</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197.77</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30301</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离休费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18.58</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18.58</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30302</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退休费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179.20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179.20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30303</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退职（役）费</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30304</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抚恤金</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30305</w:t>
            </w:r>
          </w:p>
        </w:tc>
        <w:tc>
          <w:tcPr>
            <w:tcW w:w="3125"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生活补助</w:t>
            </w:r>
          </w:p>
        </w:tc>
        <w:tc>
          <w:tcPr>
            <w:tcW w:w="2836"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30306</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救济费</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30307</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医疗费补助</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30308</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助学金</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30309</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奖励金</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30310</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个人农业生产补贴</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30311</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代缴社会保险费</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30399</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其他对个人和家庭的补助</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307</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债务利息及费用支出</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30701</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国内债务付息</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30702</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国外债务付息</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30703</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国内债务发行费用</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30704</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国外债务发行费用</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310</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资本性支出</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275.11</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275.11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31001</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房屋建筑物购建</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31002</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办公设备购置</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16.67</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16.67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31003</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专用设备购置</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154.11</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154.11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31005</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基础设施建设</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31006</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大型修缮</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31007</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信息网络及软件购置更新</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82.68</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82.68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31008</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物资储备</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31009</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土地补偿</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31010</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安置补助</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31011</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地上附着物和青苗补偿</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31012</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拆迁补偿</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31013</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公务用车购置</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21.64</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31019</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其他交通工具购置</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31021</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文物和陈列品购置</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31022</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无形资产购置</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31099</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其他资本性支出</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312</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对企业补助</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31201</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资本金注入</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31203</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政府投资基金股权投资</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31204</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费用补贴</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31205</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利息补贴</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31299</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其他对企业补助</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399</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其他支出</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39906</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赠与</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39907</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国家赔偿费用支出</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39908</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对民间非营利组织和群众性自治组织补贴</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39999</w:t>
            </w:r>
          </w:p>
        </w:tc>
        <w:tc>
          <w:tcPr>
            <w:tcW w:w="31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其他支出</w:t>
            </w:r>
          </w:p>
        </w:tc>
        <w:tc>
          <w:tcPr>
            <w:tcW w:w="2836"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2572"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c>
          <w:tcPr>
            <w:tcW w:w="340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0.00</w:t>
            </w:r>
          </w:p>
        </w:tc>
      </w:tr>
    </w:tbl>
    <w:p>
      <w:pPr>
        <w:spacing w:before="25"/>
        <w:ind w:left="228"/>
        <w:rPr>
          <w:sz w:val="20"/>
          <w:highlight w:val="none"/>
        </w:rPr>
      </w:pPr>
      <w:r>
        <w:rPr>
          <w:sz w:val="20"/>
          <w:highlight w:val="none"/>
        </w:rPr>
        <w:t>注：</w:t>
      </w:r>
      <w:r>
        <w:rPr>
          <w:rFonts w:ascii="Times New Roman" w:eastAsia="Times New Roman"/>
          <w:sz w:val="20"/>
          <w:highlight w:val="none"/>
        </w:rPr>
        <w:t xml:space="preserve">1. </w:t>
      </w:r>
      <w:r>
        <w:rPr>
          <w:sz w:val="20"/>
          <w:highlight w:val="none"/>
        </w:rPr>
        <w:t>本表反映部门本年度按经济分类一般公共预算财政拨款基本支出明细情况。</w:t>
      </w:r>
    </w:p>
    <w:p>
      <w:pPr>
        <w:spacing w:before="56"/>
        <w:ind w:left="629"/>
        <w:rPr>
          <w:sz w:val="20"/>
          <w:highlight w:val="none"/>
        </w:rPr>
      </w:pPr>
      <w:r>
        <w:rPr>
          <w:rFonts w:ascii="Times New Roman" w:hAnsi="Times New Roman" w:eastAsia="Times New Roman"/>
          <w:sz w:val="20"/>
          <w:highlight w:val="none"/>
        </w:rPr>
        <w:t>2.“</w:t>
      </w:r>
      <w:r>
        <w:rPr>
          <w:sz w:val="20"/>
          <w:highlight w:val="none"/>
        </w:rPr>
        <w:t>科目编码</w:t>
      </w:r>
      <w:r>
        <w:rPr>
          <w:rFonts w:ascii="Times New Roman" w:hAnsi="Times New Roman" w:eastAsia="Times New Roman"/>
          <w:sz w:val="20"/>
          <w:highlight w:val="none"/>
        </w:rPr>
        <w:t>”</w:t>
      </w:r>
      <w:r>
        <w:rPr>
          <w:sz w:val="20"/>
          <w:highlight w:val="none"/>
        </w:rPr>
        <w:t>和</w:t>
      </w:r>
      <w:r>
        <w:rPr>
          <w:rFonts w:ascii="Times New Roman" w:hAnsi="Times New Roman" w:eastAsia="Times New Roman"/>
          <w:sz w:val="20"/>
          <w:highlight w:val="none"/>
        </w:rPr>
        <w:t>“</w:t>
      </w:r>
      <w:r>
        <w:rPr>
          <w:sz w:val="20"/>
          <w:highlight w:val="none"/>
        </w:rPr>
        <w:t>科目名称</w:t>
      </w:r>
      <w:r>
        <w:rPr>
          <w:rFonts w:ascii="Times New Roman" w:hAnsi="Times New Roman" w:eastAsia="Times New Roman"/>
          <w:sz w:val="20"/>
          <w:highlight w:val="none"/>
        </w:rPr>
        <w:t>”</w:t>
      </w:r>
      <w:r>
        <w:rPr>
          <w:sz w:val="20"/>
          <w:highlight w:val="none"/>
        </w:rPr>
        <w:t>均为必填项。</w:t>
      </w:r>
    </w:p>
    <w:p>
      <w:pPr>
        <w:rPr>
          <w:sz w:val="20"/>
          <w:highlight w:val="none"/>
        </w:rPr>
        <w:sectPr>
          <w:pgSz w:w="16840" w:h="11910" w:orient="landscape"/>
          <w:pgMar w:top="1100" w:right="1320" w:bottom="280" w:left="1320" w:header="720" w:footer="720" w:gutter="0"/>
          <w:cols w:space="720" w:num="1"/>
        </w:sectPr>
      </w:pPr>
    </w:p>
    <w:p>
      <w:pPr>
        <w:pStyle w:val="2"/>
        <w:rPr>
          <w:sz w:val="20"/>
          <w:highlight w:val="none"/>
        </w:rPr>
      </w:pPr>
    </w:p>
    <w:p>
      <w:pPr>
        <w:pStyle w:val="2"/>
        <w:rPr>
          <w:sz w:val="20"/>
          <w:highlight w:val="none"/>
        </w:rPr>
      </w:pPr>
    </w:p>
    <w:p>
      <w:pPr>
        <w:pStyle w:val="2"/>
        <w:rPr>
          <w:sz w:val="20"/>
          <w:highlight w:val="none"/>
        </w:rPr>
      </w:pPr>
    </w:p>
    <w:p>
      <w:pPr>
        <w:pStyle w:val="2"/>
        <w:rPr>
          <w:sz w:val="20"/>
          <w:highlight w:val="none"/>
        </w:rPr>
      </w:pPr>
    </w:p>
    <w:p>
      <w:pPr>
        <w:pStyle w:val="2"/>
        <w:rPr>
          <w:sz w:val="20"/>
          <w:highlight w:val="none"/>
        </w:rPr>
      </w:pPr>
    </w:p>
    <w:p>
      <w:pPr>
        <w:pStyle w:val="12"/>
        <w:spacing w:before="224"/>
        <w:ind w:left="1"/>
        <w:rPr>
          <w:highlight w:val="none"/>
        </w:rPr>
      </w:pPr>
      <w:r>
        <w:rPr>
          <w:highlight w:val="none"/>
        </w:rPr>
        <w:t>一般公共预算</w:t>
      </w:r>
      <w:r>
        <w:rPr>
          <w:rFonts w:ascii="Times New Roman" w:hAnsi="Times New Roman" w:eastAsia="Times New Roman"/>
          <w:highlight w:val="none"/>
        </w:rPr>
        <w:t>“</w:t>
      </w:r>
      <w:r>
        <w:rPr>
          <w:highlight w:val="none"/>
        </w:rPr>
        <w:t>三公</w:t>
      </w:r>
      <w:r>
        <w:rPr>
          <w:rFonts w:ascii="Times New Roman" w:hAnsi="Times New Roman" w:eastAsia="Times New Roman"/>
          <w:highlight w:val="none"/>
        </w:rPr>
        <w:t>”</w:t>
      </w:r>
      <w:r>
        <w:rPr>
          <w:highlight w:val="none"/>
        </w:rPr>
        <w:t>经费、会议费、培训费支出决算表</w:t>
      </w:r>
    </w:p>
    <w:p>
      <w:pPr>
        <w:pStyle w:val="2"/>
        <w:spacing w:before="8"/>
        <w:rPr>
          <w:sz w:val="29"/>
          <w:highlight w:val="none"/>
        </w:rPr>
      </w:pPr>
    </w:p>
    <w:p>
      <w:pPr>
        <w:spacing w:before="78"/>
        <w:ind w:right="372"/>
        <w:jc w:val="right"/>
        <w:rPr>
          <w:sz w:val="20"/>
          <w:highlight w:val="none"/>
        </w:rPr>
      </w:pPr>
      <w:r>
        <w:rPr>
          <w:spacing w:val="-18"/>
          <w:sz w:val="20"/>
          <w:highlight w:val="none"/>
        </w:rPr>
        <w:t xml:space="preserve">公开 </w:t>
      </w:r>
      <w:r>
        <w:rPr>
          <w:rFonts w:ascii="Times New Roman" w:eastAsia="Times New Roman"/>
          <w:sz w:val="20"/>
          <w:highlight w:val="none"/>
        </w:rPr>
        <w:t xml:space="preserve">09 </w:t>
      </w:r>
      <w:r>
        <w:rPr>
          <w:sz w:val="20"/>
          <w:highlight w:val="none"/>
        </w:rPr>
        <w:t>表</w:t>
      </w:r>
    </w:p>
    <w:p>
      <w:pPr>
        <w:pStyle w:val="2"/>
        <w:spacing w:before="9"/>
        <w:rPr>
          <w:sz w:val="16"/>
          <w:highlight w:val="none"/>
        </w:rPr>
      </w:pPr>
    </w:p>
    <w:p>
      <w:pPr>
        <w:tabs>
          <w:tab w:val="left" w:pos="12047"/>
        </w:tabs>
        <w:spacing w:after="33"/>
        <w:ind w:right="375"/>
        <w:jc w:val="right"/>
        <w:rPr>
          <w:sz w:val="20"/>
          <w:highlight w:val="none"/>
        </w:rPr>
      </w:pPr>
      <w:r>
        <w:rPr>
          <w:sz w:val="20"/>
          <w:highlight w:val="none"/>
        </w:rPr>
        <w:t>部门名称：</w:t>
      </w:r>
      <w:r>
        <w:rPr>
          <w:rFonts w:hint="eastAsia" w:ascii="Times New Roman"/>
          <w:sz w:val="20"/>
          <w:highlight w:val="none"/>
          <w:lang w:eastAsia="zh-CN"/>
        </w:rPr>
        <w:t>连云港市海州区人民检察院</w:t>
      </w:r>
      <w:r>
        <w:rPr>
          <w:rFonts w:ascii="Times New Roman" w:eastAsia="Times New Roman"/>
          <w:sz w:val="20"/>
          <w:highlight w:val="none"/>
        </w:rPr>
        <w:tab/>
      </w:r>
      <w:r>
        <w:rPr>
          <w:w w:val="95"/>
          <w:sz w:val="20"/>
          <w:highlight w:val="none"/>
        </w:rPr>
        <w:t>金额单位：万元</w:t>
      </w:r>
    </w:p>
    <w:tbl>
      <w:tblPr>
        <w:tblStyle w:val="8"/>
        <w:tblW w:w="0" w:type="auto"/>
        <w:tblInd w:w="2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1"/>
        <w:gridCol w:w="2100"/>
        <w:gridCol w:w="1659"/>
        <w:gridCol w:w="1661"/>
        <w:gridCol w:w="1601"/>
        <w:gridCol w:w="1658"/>
        <w:gridCol w:w="1661"/>
        <w:gridCol w:w="1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0340" w:type="dxa"/>
            <w:gridSpan w:val="6"/>
          </w:tcPr>
          <w:p>
            <w:pPr>
              <w:pStyle w:val="16"/>
              <w:spacing w:before="30"/>
              <w:ind w:left="4659" w:right="4653"/>
              <w:jc w:val="center"/>
              <w:rPr>
                <w:sz w:val="20"/>
                <w:szCs w:val="20"/>
                <w:highlight w:val="none"/>
              </w:rPr>
            </w:pPr>
            <w:r>
              <w:rPr>
                <w:rFonts w:ascii="Times New Roman" w:hAnsi="Times New Roman" w:eastAsia="Times New Roman"/>
                <w:sz w:val="20"/>
                <w:szCs w:val="20"/>
                <w:highlight w:val="none"/>
              </w:rPr>
              <w:t>“</w:t>
            </w:r>
            <w:r>
              <w:rPr>
                <w:sz w:val="20"/>
                <w:szCs w:val="20"/>
                <w:highlight w:val="none"/>
              </w:rPr>
              <w:t>三公</w:t>
            </w:r>
            <w:r>
              <w:rPr>
                <w:rFonts w:ascii="Times New Roman" w:hAnsi="Times New Roman" w:eastAsia="Times New Roman"/>
                <w:sz w:val="20"/>
                <w:szCs w:val="20"/>
                <w:highlight w:val="none"/>
              </w:rPr>
              <w:t>”</w:t>
            </w:r>
            <w:r>
              <w:rPr>
                <w:sz w:val="20"/>
                <w:szCs w:val="20"/>
                <w:highlight w:val="none"/>
              </w:rPr>
              <w:t>经费</w:t>
            </w:r>
          </w:p>
        </w:tc>
        <w:tc>
          <w:tcPr>
            <w:tcW w:w="1661" w:type="dxa"/>
            <w:vMerge w:val="restart"/>
          </w:tcPr>
          <w:p>
            <w:pPr>
              <w:pStyle w:val="16"/>
              <w:spacing w:before="0"/>
              <w:rPr>
                <w:sz w:val="20"/>
                <w:szCs w:val="20"/>
                <w:highlight w:val="none"/>
              </w:rPr>
            </w:pPr>
          </w:p>
          <w:p>
            <w:pPr>
              <w:pStyle w:val="16"/>
              <w:spacing w:before="7"/>
              <w:rPr>
                <w:sz w:val="20"/>
                <w:szCs w:val="20"/>
                <w:highlight w:val="none"/>
              </w:rPr>
            </w:pPr>
          </w:p>
          <w:p>
            <w:pPr>
              <w:pStyle w:val="16"/>
              <w:spacing w:before="0"/>
              <w:ind w:left="530"/>
              <w:rPr>
                <w:sz w:val="20"/>
                <w:szCs w:val="20"/>
                <w:highlight w:val="none"/>
              </w:rPr>
            </w:pPr>
            <w:r>
              <w:rPr>
                <w:sz w:val="20"/>
                <w:szCs w:val="20"/>
                <w:highlight w:val="none"/>
              </w:rPr>
              <w:t>会议费</w:t>
            </w:r>
          </w:p>
        </w:tc>
        <w:tc>
          <w:tcPr>
            <w:tcW w:w="1660" w:type="dxa"/>
            <w:vMerge w:val="restart"/>
          </w:tcPr>
          <w:p>
            <w:pPr>
              <w:pStyle w:val="16"/>
              <w:spacing w:before="0"/>
              <w:rPr>
                <w:sz w:val="20"/>
                <w:szCs w:val="20"/>
                <w:highlight w:val="none"/>
              </w:rPr>
            </w:pPr>
          </w:p>
          <w:p>
            <w:pPr>
              <w:pStyle w:val="16"/>
              <w:spacing w:before="7"/>
              <w:rPr>
                <w:sz w:val="20"/>
                <w:szCs w:val="20"/>
                <w:highlight w:val="none"/>
              </w:rPr>
            </w:pPr>
          </w:p>
          <w:p>
            <w:pPr>
              <w:pStyle w:val="16"/>
              <w:spacing w:before="0"/>
              <w:ind w:left="531"/>
              <w:rPr>
                <w:sz w:val="20"/>
                <w:szCs w:val="20"/>
                <w:highlight w:val="none"/>
              </w:rPr>
            </w:pPr>
            <w:r>
              <w:rPr>
                <w:sz w:val="20"/>
                <w:szCs w:val="20"/>
                <w:highlight w:val="none"/>
              </w:rPr>
              <w:t>培训费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661" w:type="dxa"/>
            <w:vMerge w:val="restart"/>
          </w:tcPr>
          <w:p>
            <w:pPr>
              <w:pStyle w:val="16"/>
              <w:spacing w:before="6"/>
              <w:rPr>
                <w:sz w:val="20"/>
                <w:szCs w:val="20"/>
                <w:highlight w:val="none"/>
              </w:rPr>
            </w:pPr>
          </w:p>
          <w:p>
            <w:pPr>
              <w:pStyle w:val="16"/>
              <w:spacing w:before="0" w:line="292" w:lineRule="auto"/>
              <w:ind w:left="629" w:right="292" w:hanging="288"/>
              <w:rPr>
                <w:sz w:val="20"/>
                <w:szCs w:val="20"/>
                <w:highlight w:val="none"/>
              </w:rPr>
            </w:pPr>
            <w:r>
              <w:rPr>
                <w:rFonts w:ascii="Times New Roman" w:hAnsi="Times New Roman" w:eastAsia="Times New Roman"/>
                <w:sz w:val="20"/>
                <w:szCs w:val="20"/>
                <w:highlight w:val="none"/>
              </w:rPr>
              <w:t>“</w:t>
            </w:r>
            <w:r>
              <w:rPr>
                <w:sz w:val="20"/>
                <w:szCs w:val="20"/>
                <w:highlight w:val="none"/>
              </w:rPr>
              <w:t>三公</w:t>
            </w:r>
            <w:r>
              <w:rPr>
                <w:rFonts w:ascii="Times New Roman" w:hAnsi="Times New Roman" w:eastAsia="Times New Roman"/>
                <w:sz w:val="20"/>
                <w:szCs w:val="20"/>
                <w:highlight w:val="none"/>
              </w:rPr>
              <w:t>”</w:t>
            </w:r>
            <w:r>
              <w:rPr>
                <w:sz w:val="20"/>
                <w:szCs w:val="20"/>
                <w:highlight w:val="none"/>
              </w:rPr>
              <w:t>经费合计</w:t>
            </w:r>
          </w:p>
        </w:tc>
        <w:tc>
          <w:tcPr>
            <w:tcW w:w="2100" w:type="dxa"/>
            <w:vMerge w:val="restart"/>
          </w:tcPr>
          <w:p>
            <w:pPr>
              <w:pStyle w:val="16"/>
              <w:spacing w:before="8"/>
              <w:rPr>
                <w:sz w:val="20"/>
                <w:szCs w:val="20"/>
                <w:highlight w:val="none"/>
              </w:rPr>
            </w:pPr>
          </w:p>
          <w:p>
            <w:pPr>
              <w:pStyle w:val="16"/>
              <w:spacing w:before="0"/>
              <w:ind w:left="249"/>
              <w:rPr>
                <w:sz w:val="20"/>
                <w:szCs w:val="20"/>
                <w:highlight w:val="none"/>
              </w:rPr>
            </w:pPr>
            <w:r>
              <w:rPr>
                <w:sz w:val="20"/>
                <w:szCs w:val="20"/>
                <w:highlight w:val="none"/>
              </w:rPr>
              <w:t>因公出国（境）费</w:t>
            </w:r>
          </w:p>
        </w:tc>
        <w:tc>
          <w:tcPr>
            <w:tcW w:w="4921" w:type="dxa"/>
            <w:gridSpan w:val="3"/>
          </w:tcPr>
          <w:p>
            <w:pPr>
              <w:pStyle w:val="16"/>
              <w:spacing w:before="27"/>
              <w:ind w:left="1260"/>
              <w:rPr>
                <w:sz w:val="20"/>
                <w:szCs w:val="20"/>
                <w:highlight w:val="none"/>
              </w:rPr>
            </w:pPr>
            <w:r>
              <w:rPr>
                <w:sz w:val="20"/>
                <w:szCs w:val="20"/>
                <w:highlight w:val="none"/>
              </w:rPr>
              <w:t>公务用车购置及运行维护费</w:t>
            </w:r>
          </w:p>
        </w:tc>
        <w:tc>
          <w:tcPr>
            <w:tcW w:w="1658" w:type="dxa"/>
            <w:vMerge w:val="restart"/>
          </w:tcPr>
          <w:p>
            <w:pPr>
              <w:pStyle w:val="16"/>
              <w:spacing w:before="8"/>
              <w:rPr>
                <w:sz w:val="20"/>
                <w:szCs w:val="20"/>
                <w:highlight w:val="none"/>
              </w:rPr>
            </w:pPr>
          </w:p>
          <w:p>
            <w:pPr>
              <w:pStyle w:val="16"/>
              <w:spacing w:before="0"/>
              <w:ind w:left="328"/>
              <w:rPr>
                <w:sz w:val="20"/>
                <w:szCs w:val="20"/>
                <w:highlight w:val="none"/>
              </w:rPr>
            </w:pPr>
            <w:r>
              <w:rPr>
                <w:sz w:val="20"/>
                <w:szCs w:val="20"/>
                <w:highlight w:val="none"/>
              </w:rPr>
              <w:t>公务接待费</w:t>
            </w:r>
          </w:p>
        </w:tc>
        <w:tc>
          <w:tcPr>
            <w:tcW w:w="1661" w:type="dxa"/>
            <w:vMerge w:val="continue"/>
            <w:tcBorders>
              <w:top w:val="nil"/>
            </w:tcBorders>
          </w:tcPr>
          <w:p>
            <w:pPr>
              <w:rPr>
                <w:sz w:val="20"/>
                <w:szCs w:val="20"/>
                <w:highlight w:val="none"/>
              </w:rPr>
            </w:pPr>
          </w:p>
        </w:tc>
        <w:tc>
          <w:tcPr>
            <w:tcW w:w="1660" w:type="dxa"/>
            <w:vMerge w:val="continue"/>
            <w:tcBorders>
              <w:top w:val="nil"/>
            </w:tcBorders>
          </w:tcPr>
          <w:p>
            <w:pPr>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661" w:type="dxa"/>
            <w:vMerge w:val="continue"/>
            <w:tcBorders>
              <w:top w:val="nil"/>
            </w:tcBorders>
          </w:tcPr>
          <w:p>
            <w:pPr>
              <w:rPr>
                <w:sz w:val="20"/>
                <w:szCs w:val="20"/>
                <w:highlight w:val="none"/>
              </w:rPr>
            </w:pPr>
          </w:p>
        </w:tc>
        <w:tc>
          <w:tcPr>
            <w:tcW w:w="2100" w:type="dxa"/>
            <w:vMerge w:val="continue"/>
            <w:tcBorders>
              <w:top w:val="nil"/>
            </w:tcBorders>
          </w:tcPr>
          <w:p>
            <w:pPr>
              <w:rPr>
                <w:sz w:val="20"/>
                <w:szCs w:val="20"/>
                <w:highlight w:val="none"/>
              </w:rPr>
            </w:pPr>
          </w:p>
        </w:tc>
        <w:tc>
          <w:tcPr>
            <w:tcW w:w="1659" w:type="dxa"/>
          </w:tcPr>
          <w:p>
            <w:pPr>
              <w:pStyle w:val="16"/>
              <w:spacing w:before="11"/>
              <w:rPr>
                <w:sz w:val="20"/>
                <w:szCs w:val="20"/>
                <w:highlight w:val="none"/>
              </w:rPr>
            </w:pPr>
          </w:p>
          <w:p>
            <w:pPr>
              <w:pStyle w:val="16"/>
              <w:spacing w:before="0"/>
              <w:ind w:left="608" w:right="600"/>
              <w:jc w:val="center"/>
              <w:rPr>
                <w:sz w:val="20"/>
                <w:szCs w:val="20"/>
                <w:highlight w:val="none"/>
              </w:rPr>
            </w:pPr>
            <w:r>
              <w:rPr>
                <w:sz w:val="20"/>
                <w:szCs w:val="20"/>
                <w:highlight w:val="none"/>
              </w:rPr>
              <w:t>小计</w:t>
            </w:r>
          </w:p>
        </w:tc>
        <w:tc>
          <w:tcPr>
            <w:tcW w:w="1661" w:type="dxa"/>
          </w:tcPr>
          <w:p>
            <w:pPr>
              <w:pStyle w:val="16"/>
              <w:spacing w:before="11"/>
              <w:rPr>
                <w:sz w:val="20"/>
                <w:szCs w:val="20"/>
                <w:highlight w:val="none"/>
              </w:rPr>
            </w:pPr>
          </w:p>
          <w:p>
            <w:pPr>
              <w:pStyle w:val="16"/>
              <w:spacing w:before="0"/>
              <w:ind w:left="129"/>
              <w:rPr>
                <w:sz w:val="20"/>
                <w:szCs w:val="20"/>
                <w:highlight w:val="none"/>
              </w:rPr>
            </w:pPr>
            <w:r>
              <w:rPr>
                <w:sz w:val="20"/>
                <w:szCs w:val="20"/>
                <w:highlight w:val="none"/>
              </w:rPr>
              <w:t>公务用车购置费</w:t>
            </w:r>
          </w:p>
        </w:tc>
        <w:tc>
          <w:tcPr>
            <w:tcW w:w="1601" w:type="dxa"/>
          </w:tcPr>
          <w:p>
            <w:pPr>
              <w:pStyle w:val="16"/>
              <w:spacing w:before="35"/>
              <w:ind w:left="177" w:right="173"/>
              <w:jc w:val="center"/>
              <w:rPr>
                <w:sz w:val="20"/>
                <w:szCs w:val="20"/>
                <w:highlight w:val="none"/>
              </w:rPr>
            </w:pPr>
            <w:r>
              <w:rPr>
                <w:sz w:val="20"/>
                <w:szCs w:val="20"/>
                <w:highlight w:val="none"/>
              </w:rPr>
              <w:t>公务用车运行</w:t>
            </w:r>
          </w:p>
          <w:p>
            <w:pPr>
              <w:pStyle w:val="16"/>
              <w:spacing w:before="55"/>
              <w:ind w:left="177" w:right="173"/>
              <w:jc w:val="center"/>
              <w:rPr>
                <w:sz w:val="20"/>
                <w:szCs w:val="20"/>
                <w:highlight w:val="none"/>
              </w:rPr>
            </w:pPr>
            <w:r>
              <w:rPr>
                <w:sz w:val="20"/>
                <w:szCs w:val="20"/>
                <w:highlight w:val="none"/>
              </w:rPr>
              <w:t>维护费</w:t>
            </w:r>
          </w:p>
        </w:tc>
        <w:tc>
          <w:tcPr>
            <w:tcW w:w="1658" w:type="dxa"/>
            <w:vMerge w:val="continue"/>
            <w:tcBorders>
              <w:top w:val="nil"/>
            </w:tcBorders>
          </w:tcPr>
          <w:p>
            <w:pPr>
              <w:rPr>
                <w:sz w:val="20"/>
                <w:szCs w:val="20"/>
                <w:highlight w:val="none"/>
              </w:rPr>
            </w:pPr>
          </w:p>
        </w:tc>
        <w:tc>
          <w:tcPr>
            <w:tcW w:w="1661" w:type="dxa"/>
            <w:vMerge w:val="continue"/>
            <w:tcBorders>
              <w:top w:val="nil"/>
            </w:tcBorders>
          </w:tcPr>
          <w:p>
            <w:pPr>
              <w:rPr>
                <w:sz w:val="20"/>
                <w:szCs w:val="20"/>
                <w:highlight w:val="none"/>
              </w:rPr>
            </w:pPr>
          </w:p>
        </w:tc>
        <w:tc>
          <w:tcPr>
            <w:tcW w:w="1660" w:type="dxa"/>
            <w:vMerge w:val="continue"/>
            <w:tcBorders>
              <w:top w:val="nil"/>
            </w:tcBorders>
          </w:tcPr>
          <w:p>
            <w:pPr>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6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46.17</w:t>
            </w:r>
          </w:p>
        </w:tc>
        <w:tc>
          <w:tcPr>
            <w:tcW w:w="210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59" w:type="dxa"/>
            <w:vAlign w:val="center"/>
          </w:tcPr>
          <w:p>
            <w:pPr>
              <w:keepNext w:val="0"/>
              <w:keepLines w:val="0"/>
              <w:widowControl/>
              <w:suppressLineNumbers w:val="0"/>
              <w:jc w:val="right"/>
              <w:textAlignment w:val="center"/>
              <w:rPr>
                <w:b/>
                <w:sz w:val="20"/>
                <w:szCs w:val="20"/>
                <w:highlight w:val="none"/>
              </w:rPr>
            </w:pPr>
            <w:r>
              <w:rPr>
                <w:rFonts w:hint="eastAsia" w:ascii="宋体" w:hAnsi="宋体" w:eastAsia="宋体" w:cs="宋体"/>
                <w:i w:val="0"/>
                <w:color w:val="000000"/>
                <w:kern w:val="0"/>
                <w:sz w:val="20"/>
                <w:szCs w:val="20"/>
                <w:highlight w:val="none"/>
                <w:u w:val="none"/>
                <w:lang w:val="en-US" w:eastAsia="zh-CN" w:bidi="ar"/>
              </w:rPr>
              <w:t>46.17</w:t>
            </w:r>
          </w:p>
        </w:tc>
        <w:tc>
          <w:tcPr>
            <w:tcW w:w="16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21.64</w:t>
            </w:r>
          </w:p>
        </w:tc>
        <w:tc>
          <w:tcPr>
            <w:tcW w:w="160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24.53</w:t>
            </w:r>
          </w:p>
        </w:tc>
        <w:tc>
          <w:tcPr>
            <w:tcW w:w="1658"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c>
          <w:tcPr>
            <w:tcW w:w="1661"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0.18</w:t>
            </w:r>
          </w:p>
        </w:tc>
        <w:tc>
          <w:tcPr>
            <w:tcW w:w="1660"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4.68</w:t>
            </w:r>
          </w:p>
        </w:tc>
      </w:tr>
    </w:tbl>
    <w:p>
      <w:pPr>
        <w:spacing w:before="30" w:after="33"/>
        <w:ind w:left="376"/>
        <w:rPr>
          <w:sz w:val="20"/>
          <w:szCs w:val="20"/>
          <w:highlight w:val="none"/>
        </w:rPr>
      </w:pPr>
      <w:r>
        <w:rPr>
          <w:sz w:val="20"/>
          <w:szCs w:val="20"/>
          <w:highlight w:val="none"/>
        </w:rPr>
        <w:t>相关统计数：</w:t>
      </w:r>
    </w:p>
    <w:tbl>
      <w:tblPr>
        <w:tblStyle w:val="8"/>
        <w:tblW w:w="0" w:type="auto"/>
        <w:tblInd w:w="2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61"/>
        <w:gridCol w:w="1659"/>
        <w:gridCol w:w="3262"/>
        <w:gridCol w:w="16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3761" w:type="dxa"/>
            <w:tcBorders>
              <w:left w:val="single" w:color="000000" w:sz="4" w:space="0"/>
              <w:bottom w:val="single" w:color="000000" w:sz="4" w:space="0"/>
              <w:right w:val="single" w:color="000000" w:sz="4" w:space="0"/>
            </w:tcBorders>
          </w:tcPr>
          <w:p>
            <w:pPr>
              <w:pStyle w:val="16"/>
              <w:spacing w:before="28"/>
              <w:ind w:left="591" w:right="584"/>
              <w:jc w:val="center"/>
              <w:rPr>
                <w:sz w:val="20"/>
                <w:szCs w:val="20"/>
                <w:highlight w:val="none"/>
              </w:rPr>
            </w:pPr>
            <w:r>
              <w:rPr>
                <w:sz w:val="20"/>
                <w:szCs w:val="20"/>
                <w:highlight w:val="none"/>
              </w:rPr>
              <w:t>项目</w:t>
            </w:r>
          </w:p>
        </w:tc>
        <w:tc>
          <w:tcPr>
            <w:tcW w:w="1659" w:type="dxa"/>
            <w:tcBorders>
              <w:left w:val="single" w:color="000000" w:sz="4" w:space="0"/>
              <w:bottom w:val="single" w:color="000000" w:sz="4" w:space="0"/>
              <w:right w:val="single" w:color="000000" w:sz="4" w:space="0"/>
            </w:tcBorders>
          </w:tcPr>
          <w:p>
            <w:pPr>
              <w:pStyle w:val="16"/>
              <w:spacing w:before="28"/>
              <w:ind w:left="531"/>
              <w:rPr>
                <w:sz w:val="20"/>
                <w:szCs w:val="20"/>
                <w:highlight w:val="none"/>
              </w:rPr>
            </w:pPr>
            <w:r>
              <w:rPr>
                <w:sz w:val="20"/>
                <w:szCs w:val="20"/>
                <w:highlight w:val="none"/>
              </w:rPr>
              <w:t>统计数</w:t>
            </w:r>
          </w:p>
        </w:tc>
        <w:tc>
          <w:tcPr>
            <w:tcW w:w="3262" w:type="dxa"/>
            <w:tcBorders>
              <w:left w:val="single" w:color="000000" w:sz="4" w:space="0"/>
              <w:bottom w:val="single" w:color="000000" w:sz="4" w:space="0"/>
              <w:right w:val="single" w:color="000000" w:sz="4" w:space="0"/>
            </w:tcBorders>
          </w:tcPr>
          <w:p>
            <w:pPr>
              <w:pStyle w:val="16"/>
              <w:spacing w:before="28"/>
              <w:ind w:left="339" w:right="337"/>
              <w:jc w:val="center"/>
              <w:rPr>
                <w:sz w:val="20"/>
                <w:szCs w:val="20"/>
                <w:highlight w:val="none"/>
              </w:rPr>
            </w:pPr>
            <w:r>
              <w:rPr>
                <w:sz w:val="20"/>
                <w:szCs w:val="20"/>
                <w:highlight w:val="none"/>
              </w:rPr>
              <w:t>项目</w:t>
            </w:r>
          </w:p>
        </w:tc>
        <w:tc>
          <w:tcPr>
            <w:tcW w:w="1658" w:type="dxa"/>
            <w:tcBorders>
              <w:left w:val="single" w:color="000000" w:sz="4" w:space="0"/>
              <w:bottom w:val="single" w:color="000000" w:sz="4" w:space="0"/>
              <w:right w:val="single" w:color="000000" w:sz="4" w:space="0"/>
            </w:tcBorders>
          </w:tcPr>
          <w:p>
            <w:pPr>
              <w:pStyle w:val="16"/>
              <w:spacing w:before="28"/>
              <w:ind w:left="530"/>
              <w:rPr>
                <w:sz w:val="20"/>
                <w:szCs w:val="20"/>
                <w:highlight w:val="none"/>
              </w:rPr>
            </w:pPr>
            <w:r>
              <w:rPr>
                <w:sz w:val="20"/>
                <w:szCs w:val="20"/>
                <w:highlight w:val="none"/>
              </w:rPr>
              <w:t>统计数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3761" w:type="dxa"/>
            <w:tcBorders>
              <w:top w:val="single" w:color="000000" w:sz="4" w:space="0"/>
              <w:left w:val="single" w:color="000000" w:sz="4" w:space="0"/>
              <w:bottom w:val="single" w:color="000000" w:sz="4" w:space="0"/>
              <w:right w:val="single" w:color="000000" w:sz="4" w:space="0"/>
            </w:tcBorders>
          </w:tcPr>
          <w:p>
            <w:pPr>
              <w:pStyle w:val="16"/>
              <w:spacing w:before="27"/>
              <w:ind w:left="588" w:right="584"/>
              <w:jc w:val="center"/>
              <w:rPr>
                <w:rFonts w:ascii="Times New Roman" w:eastAsia="Times New Roman"/>
                <w:sz w:val="20"/>
                <w:szCs w:val="20"/>
                <w:highlight w:val="none"/>
              </w:rPr>
            </w:pPr>
            <w:r>
              <w:rPr>
                <w:sz w:val="20"/>
                <w:szCs w:val="20"/>
                <w:highlight w:val="none"/>
              </w:rPr>
              <w:t>因公出国（境）团组数</w:t>
            </w:r>
            <w:r>
              <w:rPr>
                <w:rFonts w:ascii="Times New Roman" w:eastAsia="Times New Roman"/>
                <w:sz w:val="20"/>
                <w:szCs w:val="20"/>
                <w:highlight w:val="none"/>
              </w:rPr>
              <w:t>(</w:t>
            </w:r>
            <w:r>
              <w:rPr>
                <w:sz w:val="20"/>
                <w:szCs w:val="20"/>
                <w:highlight w:val="none"/>
              </w:rPr>
              <w:t>个</w:t>
            </w:r>
            <w:r>
              <w:rPr>
                <w:rFonts w:ascii="Times New Roman" w:eastAsia="Times New Roman"/>
                <w:sz w:val="20"/>
                <w:szCs w:val="20"/>
                <w:highlight w:val="none"/>
              </w:rPr>
              <w:t>)</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w:t>
            </w:r>
          </w:p>
        </w:tc>
        <w:tc>
          <w:tcPr>
            <w:tcW w:w="3262" w:type="dxa"/>
            <w:tcBorders>
              <w:top w:val="single" w:color="000000" w:sz="4" w:space="0"/>
              <w:left w:val="single" w:color="000000" w:sz="4" w:space="0"/>
              <w:bottom w:val="single" w:color="000000" w:sz="4" w:space="0"/>
              <w:right w:val="single" w:color="000000" w:sz="4" w:space="0"/>
            </w:tcBorders>
          </w:tcPr>
          <w:p>
            <w:pPr>
              <w:pStyle w:val="16"/>
              <w:spacing w:before="27"/>
              <w:ind w:left="341" w:right="337"/>
              <w:jc w:val="center"/>
              <w:rPr>
                <w:rFonts w:ascii="Times New Roman" w:eastAsia="Times New Roman"/>
                <w:sz w:val="20"/>
                <w:szCs w:val="20"/>
                <w:highlight w:val="none"/>
              </w:rPr>
            </w:pPr>
            <w:r>
              <w:rPr>
                <w:sz w:val="20"/>
                <w:szCs w:val="20"/>
                <w:highlight w:val="none"/>
              </w:rPr>
              <w:t>因公出国（境）人次数</w:t>
            </w:r>
            <w:r>
              <w:rPr>
                <w:rFonts w:ascii="Times New Roman" w:eastAsia="Times New Roman"/>
                <w:sz w:val="20"/>
                <w:szCs w:val="20"/>
                <w:highlight w:val="none"/>
              </w:rPr>
              <w:t>(</w:t>
            </w:r>
            <w:r>
              <w:rPr>
                <w:sz w:val="20"/>
                <w:szCs w:val="20"/>
                <w:highlight w:val="none"/>
              </w:rPr>
              <w:t>人</w:t>
            </w:r>
            <w:r>
              <w:rPr>
                <w:rFonts w:ascii="Times New Roman" w:eastAsia="Times New Roman"/>
                <w:sz w:val="20"/>
                <w:szCs w:val="20"/>
                <w:highlight w:val="none"/>
              </w:rPr>
              <w:t>)</w:t>
            </w:r>
          </w:p>
        </w:tc>
        <w:tc>
          <w:tcPr>
            <w:tcW w:w="1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3761" w:type="dxa"/>
            <w:tcBorders>
              <w:top w:val="single" w:color="000000" w:sz="4" w:space="0"/>
              <w:left w:val="single" w:color="000000" w:sz="4" w:space="0"/>
              <w:bottom w:val="single" w:color="000000" w:sz="4" w:space="0"/>
              <w:right w:val="single" w:color="000000" w:sz="4" w:space="0"/>
            </w:tcBorders>
          </w:tcPr>
          <w:p>
            <w:pPr>
              <w:pStyle w:val="16"/>
              <w:spacing w:before="27"/>
              <w:ind w:left="588" w:right="584"/>
              <w:jc w:val="center"/>
              <w:rPr>
                <w:rFonts w:ascii="Times New Roman" w:eastAsia="Times New Roman"/>
                <w:sz w:val="20"/>
                <w:szCs w:val="20"/>
                <w:highlight w:val="none"/>
              </w:rPr>
            </w:pPr>
            <w:r>
              <w:rPr>
                <w:sz w:val="20"/>
                <w:szCs w:val="20"/>
                <w:highlight w:val="none"/>
              </w:rPr>
              <w:t>公务用车购置数</w:t>
            </w:r>
            <w:r>
              <w:rPr>
                <w:rFonts w:ascii="Times New Roman" w:eastAsia="Times New Roman"/>
                <w:sz w:val="20"/>
                <w:szCs w:val="20"/>
                <w:highlight w:val="none"/>
              </w:rPr>
              <w:t>(</w:t>
            </w:r>
            <w:r>
              <w:rPr>
                <w:sz w:val="20"/>
                <w:szCs w:val="20"/>
                <w:highlight w:val="none"/>
              </w:rPr>
              <w:t>辆</w:t>
            </w:r>
            <w:r>
              <w:rPr>
                <w:rFonts w:ascii="Times New Roman" w:eastAsia="Times New Roman"/>
                <w:sz w:val="20"/>
                <w:szCs w:val="20"/>
                <w:highlight w:val="none"/>
              </w:rPr>
              <w:t>)</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1</w:t>
            </w:r>
          </w:p>
        </w:tc>
        <w:tc>
          <w:tcPr>
            <w:tcW w:w="3262" w:type="dxa"/>
            <w:tcBorders>
              <w:top w:val="single" w:color="000000" w:sz="4" w:space="0"/>
              <w:left w:val="single" w:color="000000" w:sz="4" w:space="0"/>
              <w:bottom w:val="single" w:color="000000" w:sz="4" w:space="0"/>
              <w:right w:val="single" w:color="000000" w:sz="4" w:space="0"/>
            </w:tcBorders>
          </w:tcPr>
          <w:p>
            <w:pPr>
              <w:pStyle w:val="16"/>
              <w:spacing w:before="27"/>
              <w:ind w:left="341" w:right="337"/>
              <w:jc w:val="center"/>
              <w:rPr>
                <w:rFonts w:ascii="Times New Roman" w:eastAsia="Times New Roman"/>
                <w:sz w:val="20"/>
                <w:szCs w:val="20"/>
                <w:highlight w:val="none"/>
              </w:rPr>
            </w:pPr>
            <w:r>
              <w:rPr>
                <w:sz w:val="20"/>
                <w:szCs w:val="20"/>
                <w:highlight w:val="none"/>
              </w:rPr>
              <w:t>公务用车保有量</w:t>
            </w:r>
            <w:r>
              <w:rPr>
                <w:rFonts w:ascii="Times New Roman" w:eastAsia="Times New Roman"/>
                <w:sz w:val="20"/>
                <w:szCs w:val="20"/>
                <w:highlight w:val="none"/>
              </w:rPr>
              <w:t>(</w:t>
            </w:r>
            <w:r>
              <w:rPr>
                <w:sz w:val="20"/>
                <w:szCs w:val="20"/>
                <w:highlight w:val="none"/>
              </w:rPr>
              <w:t>辆</w:t>
            </w:r>
            <w:r>
              <w:rPr>
                <w:rFonts w:ascii="Times New Roman" w:eastAsia="Times New Roman"/>
                <w:sz w:val="20"/>
                <w:szCs w:val="20"/>
                <w:highlight w:val="none"/>
              </w:rPr>
              <w:t>)</w:t>
            </w:r>
          </w:p>
        </w:tc>
        <w:tc>
          <w:tcPr>
            <w:tcW w:w="1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3761" w:type="dxa"/>
            <w:tcBorders>
              <w:top w:val="single" w:color="000000" w:sz="4" w:space="0"/>
              <w:left w:val="single" w:color="000000" w:sz="4" w:space="0"/>
              <w:bottom w:val="single" w:color="000000" w:sz="4" w:space="0"/>
              <w:right w:val="single" w:color="000000" w:sz="4" w:space="0"/>
            </w:tcBorders>
          </w:tcPr>
          <w:p>
            <w:pPr>
              <w:pStyle w:val="16"/>
              <w:spacing w:before="28"/>
              <w:ind w:left="588" w:right="584"/>
              <w:jc w:val="center"/>
              <w:rPr>
                <w:rFonts w:ascii="Times New Roman" w:eastAsia="Times New Roman"/>
                <w:sz w:val="20"/>
                <w:szCs w:val="20"/>
                <w:highlight w:val="none"/>
              </w:rPr>
            </w:pPr>
            <w:r>
              <w:rPr>
                <w:sz w:val="20"/>
                <w:szCs w:val="20"/>
                <w:highlight w:val="none"/>
              </w:rPr>
              <w:t>国内公务接待批次</w:t>
            </w:r>
            <w:r>
              <w:rPr>
                <w:rFonts w:ascii="Times New Roman" w:eastAsia="Times New Roman"/>
                <w:sz w:val="20"/>
                <w:szCs w:val="20"/>
                <w:highlight w:val="none"/>
              </w:rPr>
              <w:t>(</w:t>
            </w:r>
            <w:r>
              <w:rPr>
                <w:sz w:val="20"/>
                <w:szCs w:val="20"/>
                <w:highlight w:val="none"/>
              </w:rPr>
              <w:t>个</w:t>
            </w:r>
            <w:r>
              <w:rPr>
                <w:rFonts w:ascii="Times New Roman" w:eastAsia="Times New Roman"/>
                <w:sz w:val="20"/>
                <w:szCs w:val="20"/>
                <w:highlight w:val="none"/>
              </w:rPr>
              <w:t>)</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w:t>
            </w:r>
          </w:p>
        </w:tc>
        <w:tc>
          <w:tcPr>
            <w:tcW w:w="3262" w:type="dxa"/>
            <w:tcBorders>
              <w:top w:val="single" w:color="000000" w:sz="4" w:space="0"/>
              <w:left w:val="single" w:color="000000" w:sz="4" w:space="0"/>
              <w:bottom w:val="single" w:color="000000" w:sz="4" w:space="0"/>
              <w:right w:val="single" w:color="000000" w:sz="4" w:space="0"/>
            </w:tcBorders>
          </w:tcPr>
          <w:p>
            <w:pPr>
              <w:pStyle w:val="16"/>
              <w:spacing w:before="28"/>
              <w:ind w:left="341" w:right="337"/>
              <w:jc w:val="center"/>
              <w:rPr>
                <w:rFonts w:ascii="Times New Roman" w:eastAsia="Times New Roman"/>
                <w:sz w:val="20"/>
                <w:szCs w:val="20"/>
                <w:highlight w:val="none"/>
              </w:rPr>
            </w:pPr>
            <w:r>
              <w:rPr>
                <w:sz w:val="20"/>
                <w:szCs w:val="20"/>
                <w:highlight w:val="none"/>
              </w:rPr>
              <w:t>国内公务接待人次</w:t>
            </w:r>
            <w:r>
              <w:rPr>
                <w:rFonts w:ascii="Times New Roman" w:eastAsia="Times New Roman"/>
                <w:sz w:val="20"/>
                <w:szCs w:val="20"/>
                <w:highlight w:val="none"/>
              </w:rPr>
              <w:t>(</w:t>
            </w:r>
            <w:r>
              <w:rPr>
                <w:sz w:val="20"/>
                <w:szCs w:val="20"/>
                <w:highlight w:val="none"/>
              </w:rPr>
              <w:t>人</w:t>
            </w:r>
            <w:r>
              <w:rPr>
                <w:rFonts w:ascii="Times New Roman" w:eastAsia="Times New Roman"/>
                <w:sz w:val="20"/>
                <w:szCs w:val="20"/>
                <w:highlight w:val="none"/>
              </w:rPr>
              <w:t>)</w:t>
            </w:r>
          </w:p>
        </w:tc>
        <w:tc>
          <w:tcPr>
            <w:tcW w:w="1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3761" w:type="dxa"/>
            <w:tcBorders>
              <w:top w:val="single" w:color="000000" w:sz="4" w:space="0"/>
              <w:left w:val="single" w:color="000000" w:sz="4" w:space="0"/>
              <w:bottom w:val="single" w:color="000000" w:sz="4" w:space="0"/>
              <w:right w:val="single" w:color="000000" w:sz="4" w:space="0"/>
            </w:tcBorders>
          </w:tcPr>
          <w:p>
            <w:pPr>
              <w:pStyle w:val="16"/>
              <w:spacing w:before="28"/>
              <w:ind w:left="593" w:right="584"/>
              <w:jc w:val="center"/>
              <w:rPr>
                <w:rFonts w:ascii="Times New Roman" w:eastAsia="Times New Roman"/>
                <w:sz w:val="20"/>
                <w:szCs w:val="20"/>
                <w:highlight w:val="none"/>
              </w:rPr>
            </w:pPr>
            <w:r>
              <w:rPr>
                <w:sz w:val="20"/>
                <w:szCs w:val="20"/>
                <w:highlight w:val="none"/>
              </w:rPr>
              <w:t>国（境）外公务接待批次</w:t>
            </w:r>
            <w:r>
              <w:rPr>
                <w:rFonts w:ascii="Times New Roman" w:eastAsia="Times New Roman"/>
                <w:sz w:val="20"/>
                <w:szCs w:val="20"/>
                <w:highlight w:val="none"/>
              </w:rPr>
              <w:t>(</w:t>
            </w:r>
            <w:r>
              <w:rPr>
                <w:sz w:val="20"/>
                <w:szCs w:val="20"/>
                <w:highlight w:val="none"/>
              </w:rPr>
              <w:t>个</w:t>
            </w:r>
            <w:r>
              <w:rPr>
                <w:rFonts w:ascii="Times New Roman" w:eastAsia="Times New Roman"/>
                <w:sz w:val="20"/>
                <w:szCs w:val="20"/>
                <w:highlight w:val="none"/>
              </w:rPr>
              <w:t>)</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w:t>
            </w:r>
          </w:p>
        </w:tc>
        <w:tc>
          <w:tcPr>
            <w:tcW w:w="3262" w:type="dxa"/>
            <w:tcBorders>
              <w:top w:val="single" w:color="000000" w:sz="4" w:space="0"/>
              <w:left w:val="single" w:color="000000" w:sz="4" w:space="0"/>
              <w:bottom w:val="single" w:color="000000" w:sz="4" w:space="0"/>
              <w:right w:val="single" w:color="000000" w:sz="4" w:space="0"/>
            </w:tcBorders>
          </w:tcPr>
          <w:p>
            <w:pPr>
              <w:pStyle w:val="16"/>
              <w:spacing w:before="28"/>
              <w:ind w:left="341" w:right="337"/>
              <w:jc w:val="center"/>
              <w:rPr>
                <w:rFonts w:ascii="Times New Roman" w:eastAsia="Times New Roman"/>
                <w:sz w:val="20"/>
                <w:szCs w:val="20"/>
                <w:highlight w:val="none"/>
              </w:rPr>
            </w:pPr>
            <w:r>
              <w:rPr>
                <w:sz w:val="20"/>
                <w:szCs w:val="20"/>
                <w:highlight w:val="none"/>
              </w:rPr>
              <w:t>国（境）外公务接待人次</w:t>
            </w:r>
            <w:r>
              <w:rPr>
                <w:rFonts w:ascii="Times New Roman" w:eastAsia="Times New Roman"/>
                <w:sz w:val="20"/>
                <w:szCs w:val="20"/>
                <w:highlight w:val="none"/>
              </w:rPr>
              <w:t>(</w:t>
            </w:r>
            <w:r>
              <w:rPr>
                <w:sz w:val="20"/>
                <w:szCs w:val="20"/>
                <w:highlight w:val="none"/>
              </w:rPr>
              <w:t>人</w:t>
            </w:r>
            <w:r>
              <w:rPr>
                <w:rFonts w:ascii="Times New Roman" w:eastAsia="Times New Roman"/>
                <w:sz w:val="20"/>
                <w:szCs w:val="20"/>
                <w:highlight w:val="none"/>
              </w:rPr>
              <w:t>)</w:t>
            </w:r>
          </w:p>
        </w:tc>
        <w:tc>
          <w:tcPr>
            <w:tcW w:w="1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3761" w:type="dxa"/>
            <w:tcBorders>
              <w:top w:val="single" w:color="000000" w:sz="4" w:space="0"/>
              <w:left w:val="single" w:color="000000" w:sz="4" w:space="0"/>
              <w:bottom w:val="single" w:color="000000" w:sz="4" w:space="0"/>
              <w:right w:val="single" w:color="000000" w:sz="4" w:space="0"/>
            </w:tcBorders>
          </w:tcPr>
          <w:p>
            <w:pPr>
              <w:pStyle w:val="16"/>
              <w:spacing w:before="30"/>
              <w:ind w:left="590" w:right="584"/>
              <w:jc w:val="center"/>
              <w:rPr>
                <w:rFonts w:ascii="Times New Roman" w:eastAsia="Times New Roman"/>
                <w:sz w:val="20"/>
                <w:szCs w:val="20"/>
                <w:highlight w:val="none"/>
              </w:rPr>
            </w:pPr>
            <w:r>
              <w:rPr>
                <w:sz w:val="20"/>
                <w:szCs w:val="20"/>
                <w:highlight w:val="none"/>
              </w:rPr>
              <w:t>召开会议次数</w:t>
            </w:r>
            <w:r>
              <w:rPr>
                <w:rFonts w:ascii="Times New Roman" w:eastAsia="Times New Roman"/>
                <w:sz w:val="20"/>
                <w:szCs w:val="20"/>
                <w:highlight w:val="none"/>
              </w:rPr>
              <w:t>(</w:t>
            </w:r>
            <w:r>
              <w:rPr>
                <w:sz w:val="20"/>
                <w:szCs w:val="20"/>
                <w:highlight w:val="none"/>
              </w:rPr>
              <w:t>个</w:t>
            </w:r>
            <w:r>
              <w:rPr>
                <w:rFonts w:ascii="Times New Roman" w:eastAsia="Times New Roman"/>
                <w:sz w:val="20"/>
                <w:szCs w:val="20"/>
                <w:highlight w:val="none"/>
              </w:rPr>
              <w:t>)</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1</w:t>
            </w:r>
          </w:p>
        </w:tc>
        <w:tc>
          <w:tcPr>
            <w:tcW w:w="3262" w:type="dxa"/>
            <w:tcBorders>
              <w:top w:val="single" w:color="000000" w:sz="4" w:space="0"/>
              <w:left w:val="single" w:color="000000" w:sz="4" w:space="0"/>
              <w:bottom w:val="single" w:color="000000" w:sz="4" w:space="0"/>
              <w:right w:val="single" w:color="000000" w:sz="4" w:space="0"/>
            </w:tcBorders>
          </w:tcPr>
          <w:p>
            <w:pPr>
              <w:pStyle w:val="16"/>
              <w:spacing w:before="30"/>
              <w:ind w:left="338" w:right="337"/>
              <w:jc w:val="center"/>
              <w:rPr>
                <w:rFonts w:ascii="Times New Roman" w:eastAsia="Times New Roman"/>
                <w:sz w:val="20"/>
                <w:szCs w:val="20"/>
                <w:highlight w:val="none"/>
              </w:rPr>
            </w:pPr>
            <w:r>
              <w:rPr>
                <w:sz w:val="20"/>
                <w:szCs w:val="20"/>
                <w:highlight w:val="none"/>
              </w:rPr>
              <w:t>参加会议人次</w:t>
            </w:r>
            <w:r>
              <w:rPr>
                <w:rFonts w:ascii="Times New Roman" w:eastAsia="Times New Roman"/>
                <w:sz w:val="20"/>
                <w:szCs w:val="20"/>
                <w:highlight w:val="none"/>
              </w:rPr>
              <w:t>(</w:t>
            </w:r>
            <w:r>
              <w:rPr>
                <w:sz w:val="20"/>
                <w:szCs w:val="20"/>
                <w:highlight w:val="none"/>
              </w:rPr>
              <w:t>人</w:t>
            </w:r>
            <w:r>
              <w:rPr>
                <w:rFonts w:ascii="Times New Roman" w:eastAsia="Times New Roman"/>
                <w:sz w:val="20"/>
                <w:szCs w:val="20"/>
                <w:highlight w:val="none"/>
              </w:rPr>
              <w:t>)</w:t>
            </w:r>
          </w:p>
        </w:tc>
        <w:tc>
          <w:tcPr>
            <w:tcW w:w="1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61" w:type="dxa"/>
            <w:tcBorders>
              <w:top w:val="single" w:color="000000" w:sz="4" w:space="0"/>
              <w:left w:val="single" w:color="000000" w:sz="4" w:space="0"/>
              <w:bottom w:val="single" w:color="000000" w:sz="4" w:space="0"/>
              <w:right w:val="single" w:color="000000" w:sz="4" w:space="0"/>
            </w:tcBorders>
          </w:tcPr>
          <w:p>
            <w:pPr>
              <w:pStyle w:val="16"/>
              <w:ind w:left="590" w:right="584"/>
              <w:jc w:val="center"/>
              <w:rPr>
                <w:rFonts w:ascii="Times New Roman" w:eastAsia="Times New Roman"/>
                <w:sz w:val="20"/>
                <w:szCs w:val="20"/>
                <w:highlight w:val="none"/>
              </w:rPr>
            </w:pPr>
            <w:r>
              <w:rPr>
                <w:sz w:val="20"/>
                <w:szCs w:val="20"/>
                <w:highlight w:val="none"/>
              </w:rPr>
              <w:t>组织培训次数</w:t>
            </w:r>
            <w:r>
              <w:rPr>
                <w:rFonts w:ascii="Times New Roman" w:eastAsia="Times New Roman"/>
                <w:sz w:val="20"/>
                <w:szCs w:val="20"/>
                <w:highlight w:val="none"/>
              </w:rPr>
              <w:t>(</w:t>
            </w:r>
            <w:r>
              <w:rPr>
                <w:sz w:val="20"/>
                <w:szCs w:val="20"/>
                <w:highlight w:val="none"/>
              </w:rPr>
              <w:t>个</w:t>
            </w:r>
            <w:r>
              <w:rPr>
                <w:rFonts w:ascii="Times New Roman" w:eastAsia="Times New Roman"/>
                <w:sz w:val="20"/>
                <w:szCs w:val="20"/>
                <w:highlight w:val="none"/>
              </w:rPr>
              <w:t>)</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15</w:t>
            </w:r>
          </w:p>
        </w:tc>
        <w:tc>
          <w:tcPr>
            <w:tcW w:w="3262" w:type="dxa"/>
            <w:tcBorders>
              <w:top w:val="single" w:color="000000" w:sz="4" w:space="0"/>
              <w:left w:val="single" w:color="000000" w:sz="4" w:space="0"/>
              <w:bottom w:val="single" w:color="000000" w:sz="4" w:space="0"/>
              <w:right w:val="single" w:color="000000" w:sz="4" w:space="0"/>
            </w:tcBorders>
          </w:tcPr>
          <w:p>
            <w:pPr>
              <w:pStyle w:val="16"/>
              <w:ind w:left="338" w:right="337"/>
              <w:jc w:val="center"/>
              <w:rPr>
                <w:rFonts w:ascii="Times New Roman" w:eastAsia="Times New Roman"/>
                <w:sz w:val="20"/>
                <w:szCs w:val="20"/>
                <w:highlight w:val="none"/>
              </w:rPr>
            </w:pPr>
            <w:r>
              <w:rPr>
                <w:sz w:val="20"/>
                <w:szCs w:val="20"/>
                <w:highlight w:val="none"/>
              </w:rPr>
              <w:t>参加培训人次</w:t>
            </w:r>
            <w:r>
              <w:rPr>
                <w:rFonts w:ascii="Times New Roman" w:eastAsia="Times New Roman"/>
                <w:sz w:val="20"/>
                <w:szCs w:val="20"/>
                <w:highlight w:val="none"/>
              </w:rPr>
              <w:t>(</w:t>
            </w:r>
            <w:r>
              <w:rPr>
                <w:sz w:val="20"/>
                <w:szCs w:val="20"/>
                <w:highlight w:val="none"/>
              </w:rPr>
              <w:t>人</w:t>
            </w:r>
            <w:r>
              <w:rPr>
                <w:rFonts w:ascii="Times New Roman" w:eastAsia="Times New Roman"/>
                <w:sz w:val="20"/>
                <w:szCs w:val="20"/>
                <w:highlight w:val="none"/>
              </w:rPr>
              <w:t>)</w:t>
            </w:r>
          </w:p>
        </w:tc>
        <w:tc>
          <w:tcPr>
            <w:tcW w:w="1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90</w:t>
            </w:r>
          </w:p>
        </w:tc>
      </w:tr>
    </w:tbl>
    <w:p>
      <w:pPr>
        <w:spacing w:before="81"/>
        <w:ind w:left="376"/>
        <w:rPr>
          <w:sz w:val="20"/>
          <w:szCs w:val="20"/>
          <w:highlight w:val="none"/>
        </w:rPr>
      </w:pPr>
      <w:r>
        <w:rPr>
          <w:sz w:val="20"/>
          <w:szCs w:val="20"/>
          <w:highlight w:val="none"/>
        </w:rPr>
        <w:t>注：</w:t>
      </w:r>
      <w:r>
        <w:rPr>
          <w:rFonts w:ascii="Times New Roman" w:hAnsi="Times New Roman" w:eastAsia="Times New Roman"/>
          <w:sz w:val="20"/>
          <w:szCs w:val="20"/>
          <w:highlight w:val="none"/>
        </w:rPr>
        <w:t>“</w:t>
      </w:r>
      <w:r>
        <w:rPr>
          <w:sz w:val="20"/>
          <w:szCs w:val="20"/>
          <w:highlight w:val="none"/>
        </w:rPr>
        <w:t>三公</w:t>
      </w:r>
      <w:r>
        <w:rPr>
          <w:rFonts w:ascii="Times New Roman" w:hAnsi="Times New Roman" w:eastAsia="Times New Roman"/>
          <w:sz w:val="20"/>
          <w:szCs w:val="20"/>
          <w:highlight w:val="none"/>
        </w:rPr>
        <w:t>”</w:t>
      </w:r>
      <w:r>
        <w:rPr>
          <w:sz w:val="20"/>
          <w:szCs w:val="20"/>
          <w:highlight w:val="none"/>
        </w:rPr>
        <w:t>经费、会议费、培训费详细支出情况见支出情况说明。</w:t>
      </w:r>
    </w:p>
    <w:p>
      <w:pPr>
        <w:rPr>
          <w:sz w:val="20"/>
          <w:highlight w:val="none"/>
        </w:rPr>
        <w:sectPr>
          <w:pgSz w:w="16840" w:h="11910" w:orient="landscape"/>
          <w:pgMar w:top="1100" w:right="1320" w:bottom="280" w:left="1320" w:header="720" w:footer="720" w:gutter="0"/>
          <w:cols w:space="720" w:num="1"/>
        </w:sectPr>
      </w:pPr>
    </w:p>
    <w:p>
      <w:pPr>
        <w:pStyle w:val="2"/>
        <w:rPr>
          <w:sz w:val="20"/>
          <w:highlight w:val="none"/>
        </w:rPr>
      </w:pPr>
    </w:p>
    <w:p>
      <w:pPr>
        <w:pStyle w:val="2"/>
        <w:rPr>
          <w:sz w:val="20"/>
          <w:highlight w:val="none"/>
        </w:rPr>
      </w:pPr>
    </w:p>
    <w:p>
      <w:pPr>
        <w:pStyle w:val="2"/>
        <w:spacing w:before="7"/>
        <w:rPr>
          <w:sz w:val="25"/>
          <w:highlight w:val="none"/>
        </w:rPr>
      </w:pPr>
    </w:p>
    <w:p>
      <w:pPr>
        <w:pStyle w:val="11"/>
        <w:spacing w:before="47"/>
        <w:rPr>
          <w:highlight w:val="none"/>
        </w:rPr>
      </w:pPr>
      <w:r>
        <w:rPr>
          <w:highlight w:val="none"/>
        </w:rPr>
        <w:t>政府性基金预算收入支出决算表</w:t>
      </w:r>
    </w:p>
    <w:p>
      <w:pPr>
        <w:pStyle w:val="2"/>
        <w:spacing w:before="10"/>
        <w:rPr>
          <w:sz w:val="27"/>
          <w:highlight w:val="none"/>
        </w:rPr>
      </w:pPr>
    </w:p>
    <w:p>
      <w:pPr>
        <w:spacing w:before="78"/>
        <w:ind w:right="753"/>
        <w:jc w:val="right"/>
        <w:rPr>
          <w:sz w:val="20"/>
          <w:highlight w:val="none"/>
        </w:rPr>
      </w:pPr>
      <w:r>
        <w:rPr>
          <w:spacing w:val="-18"/>
          <w:sz w:val="20"/>
          <w:highlight w:val="none"/>
        </w:rPr>
        <w:t xml:space="preserve">公开 </w:t>
      </w:r>
      <w:r>
        <w:rPr>
          <w:rFonts w:ascii="Times New Roman" w:eastAsia="Times New Roman"/>
          <w:sz w:val="20"/>
          <w:highlight w:val="none"/>
        </w:rPr>
        <w:t xml:space="preserve">10 </w:t>
      </w:r>
      <w:r>
        <w:rPr>
          <w:sz w:val="20"/>
          <w:highlight w:val="none"/>
        </w:rPr>
        <w:t>表</w:t>
      </w:r>
    </w:p>
    <w:p>
      <w:pPr>
        <w:pStyle w:val="2"/>
        <w:spacing w:before="9"/>
        <w:rPr>
          <w:sz w:val="16"/>
          <w:highlight w:val="none"/>
        </w:rPr>
      </w:pPr>
    </w:p>
    <w:p>
      <w:pPr>
        <w:tabs>
          <w:tab w:val="left" w:pos="11288"/>
        </w:tabs>
        <w:spacing w:after="35"/>
        <w:ind w:right="754"/>
        <w:jc w:val="right"/>
        <w:rPr>
          <w:sz w:val="20"/>
          <w:highlight w:val="none"/>
        </w:rPr>
      </w:pPr>
      <w:r>
        <w:rPr>
          <w:sz w:val="20"/>
          <w:highlight w:val="none"/>
        </w:rPr>
        <w:t>部门名称：</w:t>
      </w:r>
      <w:r>
        <w:rPr>
          <w:rFonts w:hint="eastAsia" w:ascii="Times New Roman"/>
          <w:sz w:val="20"/>
          <w:highlight w:val="none"/>
          <w:lang w:eastAsia="zh-CN"/>
        </w:rPr>
        <w:t>连云港市海州区人民检察院</w:t>
      </w:r>
      <w:r>
        <w:rPr>
          <w:rFonts w:ascii="Times New Roman" w:eastAsia="Times New Roman"/>
          <w:sz w:val="20"/>
          <w:highlight w:val="none"/>
        </w:rPr>
        <w:tab/>
      </w:r>
      <w:r>
        <w:rPr>
          <w:w w:val="95"/>
          <w:sz w:val="20"/>
          <w:highlight w:val="none"/>
        </w:rPr>
        <w:t>金额单位：万元</w:t>
      </w:r>
    </w:p>
    <w:tbl>
      <w:tblPr>
        <w:tblStyle w:val="8"/>
        <w:tblW w:w="0" w:type="auto"/>
        <w:tblInd w:w="6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1"/>
        <w:gridCol w:w="1599"/>
        <w:gridCol w:w="1782"/>
        <w:gridCol w:w="1781"/>
        <w:gridCol w:w="1539"/>
        <w:gridCol w:w="1601"/>
        <w:gridCol w:w="1519"/>
        <w:gridCol w:w="1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780" w:type="dxa"/>
            <w:gridSpan w:val="2"/>
          </w:tcPr>
          <w:p>
            <w:pPr>
              <w:pStyle w:val="16"/>
              <w:tabs>
                <w:tab w:val="left" w:pos="610"/>
              </w:tabs>
              <w:spacing w:before="28"/>
              <w:ind w:left="8"/>
              <w:jc w:val="center"/>
              <w:rPr>
                <w:sz w:val="20"/>
                <w:szCs w:val="20"/>
                <w:highlight w:val="none"/>
              </w:rPr>
            </w:pPr>
            <w:r>
              <w:rPr>
                <w:sz w:val="20"/>
                <w:szCs w:val="20"/>
                <w:highlight w:val="none"/>
              </w:rPr>
              <w:t>项</w:t>
            </w:r>
            <w:r>
              <w:rPr>
                <w:sz w:val="20"/>
                <w:szCs w:val="20"/>
                <w:highlight w:val="none"/>
              </w:rPr>
              <w:tab/>
            </w:r>
            <w:r>
              <w:rPr>
                <w:sz w:val="20"/>
                <w:szCs w:val="20"/>
                <w:highlight w:val="none"/>
              </w:rPr>
              <w:t>目</w:t>
            </w:r>
          </w:p>
        </w:tc>
        <w:tc>
          <w:tcPr>
            <w:tcW w:w="1782" w:type="dxa"/>
            <w:vMerge w:val="restart"/>
          </w:tcPr>
          <w:p>
            <w:pPr>
              <w:pStyle w:val="16"/>
              <w:spacing w:before="8"/>
              <w:rPr>
                <w:sz w:val="20"/>
                <w:szCs w:val="20"/>
                <w:highlight w:val="none"/>
              </w:rPr>
            </w:pPr>
          </w:p>
          <w:p>
            <w:pPr>
              <w:pStyle w:val="16"/>
              <w:spacing w:before="1"/>
              <w:ind w:left="190"/>
              <w:rPr>
                <w:sz w:val="20"/>
                <w:szCs w:val="20"/>
                <w:highlight w:val="none"/>
              </w:rPr>
            </w:pPr>
            <w:r>
              <w:rPr>
                <w:sz w:val="20"/>
                <w:szCs w:val="20"/>
                <w:highlight w:val="none"/>
              </w:rPr>
              <w:t>年初结转和结余</w:t>
            </w:r>
          </w:p>
        </w:tc>
        <w:tc>
          <w:tcPr>
            <w:tcW w:w="1781" w:type="dxa"/>
            <w:vMerge w:val="restart"/>
          </w:tcPr>
          <w:p>
            <w:pPr>
              <w:pStyle w:val="16"/>
              <w:spacing w:before="8"/>
              <w:rPr>
                <w:sz w:val="20"/>
                <w:szCs w:val="20"/>
                <w:highlight w:val="none"/>
              </w:rPr>
            </w:pPr>
          </w:p>
          <w:p>
            <w:pPr>
              <w:pStyle w:val="16"/>
              <w:spacing w:before="1"/>
              <w:ind w:left="487"/>
              <w:rPr>
                <w:sz w:val="20"/>
                <w:szCs w:val="20"/>
                <w:highlight w:val="none"/>
              </w:rPr>
            </w:pPr>
            <w:r>
              <w:rPr>
                <w:sz w:val="20"/>
                <w:szCs w:val="20"/>
                <w:highlight w:val="none"/>
              </w:rPr>
              <w:t>本年收入</w:t>
            </w:r>
          </w:p>
        </w:tc>
        <w:tc>
          <w:tcPr>
            <w:tcW w:w="4659" w:type="dxa"/>
            <w:gridSpan w:val="3"/>
          </w:tcPr>
          <w:p>
            <w:pPr>
              <w:pStyle w:val="16"/>
              <w:spacing w:before="28"/>
              <w:ind w:left="1906" w:right="1902"/>
              <w:jc w:val="center"/>
              <w:rPr>
                <w:sz w:val="20"/>
                <w:szCs w:val="20"/>
                <w:highlight w:val="none"/>
              </w:rPr>
            </w:pPr>
            <w:r>
              <w:rPr>
                <w:sz w:val="20"/>
                <w:szCs w:val="20"/>
                <w:highlight w:val="none"/>
              </w:rPr>
              <w:t>本年支出</w:t>
            </w:r>
          </w:p>
        </w:tc>
        <w:tc>
          <w:tcPr>
            <w:tcW w:w="1901" w:type="dxa"/>
            <w:vMerge w:val="restart"/>
          </w:tcPr>
          <w:p>
            <w:pPr>
              <w:pStyle w:val="16"/>
              <w:spacing w:before="8"/>
              <w:rPr>
                <w:sz w:val="20"/>
                <w:szCs w:val="20"/>
                <w:highlight w:val="none"/>
              </w:rPr>
            </w:pPr>
          </w:p>
          <w:p>
            <w:pPr>
              <w:pStyle w:val="16"/>
              <w:spacing w:before="1"/>
              <w:ind w:left="250"/>
              <w:rPr>
                <w:sz w:val="20"/>
                <w:szCs w:val="20"/>
                <w:highlight w:val="none"/>
              </w:rPr>
            </w:pPr>
            <w:r>
              <w:rPr>
                <w:sz w:val="20"/>
                <w:szCs w:val="20"/>
                <w:highlight w:val="none"/>
              </w:rPr>
              <w:t>年末结转和结余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181" w:type="dxa"/>
          </w:tcPr>
          <w:p>
            <w:pPr>
              <w:pStyle w:val="16"/>
              <w:spacing w:before="35"/>
              <w:ind w:left="189"/>
              <w:rPr>
                <w:sz w:val="20"/>
                <w:szCs w:val="20"/>
                <w:highlight w:val="none"/>
              </w:rPr>
            </w:pPr>
            <w:r>
              <w:rPr>
                <w:w w:val="95"/>
                <w:sz w:val="20"/>
                <w:szCs w:val="20"/>
                <w:highlight w:val="none"/>
              </w:rPr>
              <w:t>功能分类</w:t>
            </w:r>
          </w:p>
          <w:p>
            <w:pPr>
              <w:pStyle w:val="16"/>
              <w:spacing w:before="55"/>
              <w:ind w:left="189"/>
              <w:rPr>
                <w:sz w:val="20"/>
                <w:szCs w:val="20"/>
                <w:highlight w:val="none"/>
              </w:rPr>
            </w:pPr>
            <w:r>
              <w:rPr>
                <w:w w:val="95"/>
                <w:sz w:val="20"/>
                <w:szCs w:val="20"/>
                <w:highlight w:val="none"/>
              </w:rPr>
              <w:t>科目编码</w:t>
            </w:r>
          </w:p>
        </w:tc>
        <w:tc>
          <w:tcPr>
            <w:tcW w:w="1599" w:type="dxa"/>
          </w:tcPr>
          <w:p>
            <w:pPr>
              <w:pStyle w:val="16"/>
              <w:spacing w:before="11"/>
              <w:rPr>
                <w:sz w:val="20"/>
                <w:szCs w:val="20"/>
                <w:highlight w:val="none"/>
              </w:rPr>
            </w:pPr>
          </w:p>
          <w:p>
            <w:pPr>
              <w:pStyle w:val="16"/>
              <w:spacing w:before="0"/>
              <w:ind w:left="400"/>
              <w:rPr>
                <w:sz w:val="20"/>
                <w:szCs w:val="20"/>
                <w:highlight w:val="none"/>
              </w:rPr>
            </w:pPr>
            <w:r>
              <w:rPr>
                <w:sz w:val="20"/>
                <w:szCs w:val="20"/>
                <w:highlight w:val="none"/>
              </w:rPr>
              <w:t>科目名称</w:t>
            </w:r>
          </w:p>
        </w:tc>
        <w:tc>
          <w:tcPr>
            <w:tcW w:w="1782" w:type="dxa"/>
            <w:vMerge w:val="continue"/>
            <w:tcBorders>
              <w:top w:val="nil"/>
            </w:tcBorders>
          </w:tcPr>
          <w:p>
            <w:pPr>
              <w:rPr>
                <w:sz w:val="20"/>
                <w:szCs w:val="20"/>
                <w:highlight w:val="none"/>
              </w:rPr>
            </w:pPr>
          </w:p>
        </w:tc>
        <w:tc>
          <w:tcPr>
            <w:tcW w:w="1781" w:type="dxa"/>
            <w:vMerge w:val="continue"/>
            <w:tcBorders>
              <w:top w:val="nil"/>
            </w:tcBorders>
          </w:tcPr>
          <w:p>
            <w:pPr>
              <w:rPr>
                <w:sz w:val="20"/>
                <w:szCs w:val="20"/>
                <w:highlight w:val="none"/>
              </w:rPr>
            </w:pPr>
          </w:p>
        </w:tc>
        <w:tc>
          <w:tcPr>
            <w:tcW w:w="1539" w:type="dxa"/>
          </w:tcPr>
          <w:p>
            <w:pPr>
              <w:pStyle w:val="16"/>
              <w:spacing w:before="11"/>
              <w:rPr>
                <w:sz w:val="20"/>
                <w:szCs w:val="20"/>
                <w:highlight w:val="none"/>
              </w:rPr>
            </w:pPr>
          </w:p>
          <w:p>
            <w:pPr>
              <w:pStyle w:val="16"/>
              <w:spacing w:before="0"/>
              <w:ind w:left="106"/>
              <w:rPr>
                <w:sz w:val="20"/>
                <w:szCs w:val="20"/>
                <w:highlight w:val="none"/>
              </w:rPr>
            </w:pPr>
            <w:r>
              <w:rPr>
                <w:sz w:val="20"/>
                <w:szCs w:val="20"/>
                <w:highlight w:val="none"/>
              </w:rPr>
              <w:t>小计</w:t>
            </w:r>
          </w:p>
        </w:tc>
        <w:tc>
          <w:tcPr>
            <w:tcW w:w="1601" w:type="dxa"/>
          </w:tcPr>
          <w:p>
            <w:pPr>
              <w:pStyle w:val="16"/>
              <w:spacing w:before="11"/>
              <w:rPr>
                <w:sz w:val="20"/>
                <w:szCs w:val="20"/>
                <w:highlight w:val="none"/>
              </w:rPr>
            </w:pPr>
          </w:p>
          <w:p>
            <w:pPr>
              <w:pStyle w:val="16"/>
              <w:spacing w:before="0"/>
              <w:ind w:left="108"/>
              <w:rPr>
                <w:sz w:val="20"/>
                <w:szCs w:val="20"/>
                <w:highlight w:val="none"/>
              </w:rPr>
            </w:pPr>
            <w:r>
              <w:rPr>
                <w:sz w:val="20"/>
                <w:szCs w:val="20"/>
                <w:highlight w:val="none"/>
              </w:rPr>
              <w:t>基本支出</w:t>
            </w:r>
          </w:p>
        </w:tc>
        <w:tc>
          <w:tcPr>
            <w:tcW w:w="1519" w:type="dxa"/>
          </w:tcPr>
          <w:p>
            <w:pPr>
              <w:pStyle w:val="16"/>
              <w:spacing w:before="11"/>
              <w:rPr>
                <w:sz w:val="20"/>
                <w:szCs w:val="20"/>
                <w:highlight w:val="none"/>
              </w:rPr>
            </w:pPr>
          </w:p>
          <w:p>
            <w:pPr>
              <w:pStyle w:val="16"/>
              <w:spacing w:before="0"/>
              <w:ind w:left="105"/>
              <w:rPr>
                <w:sz w:val="20"/>
                <w:szCs w:val="20"/>
                <w:highlight w:val="none"/>
              </w:rPr>
            </w:pPr>
            <w:r>
              <w:rPr>
                <w:sz w:val="20"/>
                <w:szCs w:val="20"/>
                <w:highlight w:val="none"/>
              </w:rPr>
              <w:t>项目支出</w:t>
            </w:r>
          </w:p>
        </w:tc>
        <w:tc>
          <w:tcPr>
            <w:tcW w:w="1901" w:type="dxa"/>
            <w:vMerge w:val="continue"/>
            <w:tcBorders>
              <w:top w:val="nil"/>
            </w:tcBorders>
          </w:tcPr>
          <w:p>
            <w:pPr>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780" w:type="dxa"/>
            <w:gridSpan w:val="2"/>
          </w:tcPr>
          <w:p>
            <w:pPr>
              <w:pStyle w:val="16"/>
              <w:spacing w:before="30"/>
              <w:ind w:left="3"/>
              <w:jc w:val="center"/>
              <w:rPr>
                <w:sz w:val="20"/>
                <w:szCs w:val="20"/>
                <w:highlight w:val="none"/>
              </w:rPr>
            </w:pPr>
            <w:r>
              <w:rPr>
                <w:sz w:val="20"/>
                <w:szCs w:val="20"/>
                <w:highlight w:val="none"/>
              </w:rPr>
              <w:t>栏次</w:t>
            </w:r>
          </w:p>
        </w:tc>
        <w:tc>
          <w:tcPr>
            <w:tcW w:w="1782" w:type="dxa"/>
          </w:tcPr>
          <w:p>
            <w:pPr>
              <w:pStyle w:val="16"/>
              <w:spacing w:before="30"/>
              <w:ind w:right="778"/>
              <w:jc w:val="right"/>
              <w:rPr>
                <w:sz w:val="20"/>
                <w:szCs w:val="20"/>
                <w:highlight w:val="none"/>
              </w:rPr>
            </w:pPr>
            <w:r>
              <w:rPr>
                <w:w w:val="99"/>
                <w:sz w:val="20"/>
                <w:szCs w:val="20"/>
                <w:highlight w:val="none"/>
              </w:rPr>
              <w:t xml:space="preserve"> </w:t>
            </w:r>
          </w:p>
        </w:tc>
        <w:tc>
          <w:tcPr>
            <w:tcW w:w="1781" w:type="dxa"/>
          </w:tcPr>
          <w:p>
            <w:pPr>
              <w:pStyle w:val="16"/>
              <w:spacing w:before="30"/>
              <w:ind w:right="780"/>
              <w:jc w:val="right"/>
              <w:rPr>
                <w:sz w:val="20"/>
                <w:szCs w:val="20"/>
                <w:highlight w:val="none"/>
              </w:rPr>
            </w:pPr>
            <w:r>
              <w:rPr>
                <w:w w:val="99"/>
                <w:sz w:val="20"/>
                <w:szCs w:val="20"/>
                <w:highlight w:val="none"/>
              </w:rPr>
              <w:t xml:space="preserve"> </w:t>
            </w:r>
          </w:p>
        </w:tc>
        <w:tc>
          <w:tcPr>
            <w:tcW w:w="1539" w:type="dxa"/>
          </w:tcPr>
          <w:p>
            <w:pPr>
              <w:pStyle w:val="16"/>
              <w:spacing w:before="43"/>
              <w:ind w:right="709"/>
              <w:jc w:val="right"/>
              <w:rPr>
                <w:rFonts w:ascii="Times New Roman"/>
                <w:sz w:val="20"/>
                <w:szCs w:val="20"/>
                <w:highlight w:val="none"/>
              </w:rPr>
            </w:pPr>
            <w:r>
              <w:rPr>
                <w:rFonts w:ascii="Times New Roman"/>
                <w:w w:val="99"/>
                <w:sz w:val="20"/>
                <w:szCs w:val="20"/>
                <w:highlight w:val="none"/>
              </w:rPr>
              <w:t>1</w:t>
            </w:r>
          </w:p>
        </w:tc>
        <w:tc>
          <w:tcPr>
            <w:tcW w:w="1601" w:type="dxa"/>
          </w:tcPr>
          <w:p>
            <w:pPr>
              <w:pStyle w:val="16"/>
              <w:spacing w:before="43"/>
              <w:ind w:right="740"/>
              <w:jc w:val="right"/>
              <w:rPr>
                <w:rFonts w:ascii="Times New Roman"/>
                <w:sz w:val="20"/>
                <w:szCs w:val="20"/>
                <w:highlight w:val="none"/>
              </w:rPr>
            </w:pPr>
            <w:r>
              <w:rPr>
                <w:rFonts w:ascii="Times New Roman"/>
                <w:w w:val="99"/>
                <w:sz w:val="20"/>
                <w:szCs w:val="20"/>
                <w:highlight w:val="none"/>
              </w:rPr>
              <w:t>2</w:t>
            </w:r>
          </w:p>
        </w:tc>
        <w:tc>
          <w:tcPr>
            <w:tcW w:w="1519" w:type="dxa"/>
          </w:tcPr>
          <w:p>
            <w:pPr>
              <w:pStyle w:val="16"/>
              <w:spacing w:before="43"/>
              <w:ind w:left="2"/>
              <w:jc w:val="center"/>
              <w:rPr>
                <w:rFonts w:ascii="Times New Roman"/>
                <w:sz w:val="20"/>
                <w:szCs w:val="20"/>
                <w:highlight w:val="none"/>
              </w:rPr>
            </w:pPr>
            <w:r>
              <w:rPr>
                <w:rFonts w:ascii="Times New Roman"/>
                <w:w w:val="99"/>
                <w:sz w:val="20"/>
                <w:szCs w:val="20"/>
                <w:highlight w:val="none"/>
              </w:rPr>
              <w:t>3</w:t>
            </w:r>
          </w:p>
        </w:tc>
        <w:tc>
          <w:tcPr>
            <w:tcW w:w="1901" w:type="dxa"/>
          </w:tcPr>
          <w:p>
            <w:pPr>
              <w:pStyle w:val="16"/>
              <w:spacing w:before="30"/>
              <w:ind w:right="838"/>
              <w:jc w:val="right"/>
              <w:rPr>
                <w:sz w:val="20"/>
                <w:szCs w:val="20"/>
                <w:highlight w:val="none"/>
              </w:rPr>
            </w:pPr>
            <w:r>
              <w:rPr>
                <w:w w:val="99"/>
                <w:sz w:val="20"/>
                <w:szCs w:val="20"/>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780" w:type="dxa"/>
            <w:gridSpan w:val="2"/>
          </w:tcPr>
          <w:p>
            <w:pPr>
              <w:pStyle w:val="16"/>
              <w:spacing w:before="30"/>
              <w:ind w:left="3"/>
              <w:jc w:val="center"/>
              <w:rPr>
                <w:sz w:val="20"/>
                <w:szCs w:val="20"/>
                <w:highlight w:val="none"/>
              </w:rPr>
            </w:pPr>
            <w:r>
              <w:rPr>
                <w:sz w:val="20"/>
                <w:szCs w:val="20"/>
                <w:highlight w:val="none"/>
              </w:rPr>
              <w:t>合计</w:t>
            </w:r>
          </w:p>
        </w:tc>
        <w:tc>
          <w:tcPr>
            <w:tcW w:w="1782" w:type="dxa"/>
          </w:tcPr>
          <w:p>
            <w:pPr>
              <w:pStyle w:val="16"/>
              <w:spacing w:before="30"/>
              <w:ind w:right="778"/>
              <w:jc w:val="right"/>
              <w:rPr>
                <w:sz w:val="20"/>
                <w:szCs w:val="20"/>
                <w:highlight w:val="none"/>
              </w:rPr>
            </w:pPr>
            <w:r>
              <w:rPr>
                <w:w w:val="99"/>
                <w:sz w:val="20"/>
                <w:szCs w:val="20"/>
                <w:highlight w:val="none"/>
              </w:rPr>
              <w:t xml:space="preserve"> </w:t>
            </w:r>
          </w:p>
        </w:tc>
        <w:tc>
          <w:tcPr>
            <w:tcW w:w="1781" w:type="dxa"/>
          </w:tcPr>
          <w:p>
            <w:pPr>
              <w:pStyle w:val="16"/>
              <w:spacing w:before="30"/>
              <w:ind w:right="780"/>
              <w:jc w:val="right"/>
              <w:rPr>
                <w:sz w:val="20"/>
                <w:szCs w:val="20"/>
                <w:highlight w:val="none"/>
              </w:rPr>
            </w:pPr>
            <w:r>
              <w:rPr>
                <w:w w:val="99"/>
                <w:sz w:val="20"/>
                <w:szCs w:val="20"/>
                <w:highlight w:val="none"/>
              </w:rPr>
              <w:t xml:space="preserve"> </w:t>
            </w:r>
          </w:p>
        </w:tc>
        <w:tc>
          <w:tcPr>
            <w:tcW w:w="1539" w:type="dxa"/>
          </w:tcPr>
          <w:p>
            <w:pPr>
              <w:pStyle w:val="16"/>
              <w:spacing w:before="30"/>
              <w:ind w:right="658"/>
              <w:jc w:val="right"/>
              <w:rPr>
                <w:sz w:val="20"/>
                <w:szCs w:val="20"/>
                <w:highlight w:val="none"/>
              </w:rPr>
            </w:pPr>
            <w:r>
              <w:rPr>
                <w:w w:val="99"/>
                <w:sz w:val="20"/>
                <w:szCs w:val="20"/>
                <w:highlight w:val="none"/>
              </w:rPr>
              <w:t xml:space="preserve"> </w:t>
            </w:r>
          </w:p>
        </w:tc>
        <w:tc>
          <w:tcPr>
            <w:tcW w:w="1601" w:type="dxa"/>
          </w:tcPr>
          <w:p>
            <w:pPr>
              <w:pStyle w:val="16"/>
              <w:spacing w:before="30"/>
              <w:ind w:right="689"/>
              <w:jc w:val="right"/>
              <w:rPr>
                <w:sz w:val="20"/>
                <w:szCs w:val="20"/>
                <w:highlight w:val="none"/>
              </w:rPr>
            </w:pPr>
            <w:r>
              <w:rPr>
                <w:w w:val="99"/>
                <w:sz w:val="20"/>
                <w:szCs w:val="20"/>
                <w:highlight w:val="none"/>
              </w:rPr>
              <w:t xml:space="preserve"> </w:t>
            </w:r>
          </w:p>
        </w:tc>
        <w:tc>
          <w:tcPr>
            <w:tcW w:w="1519" w:type="dxa"/>
          </w:tcPr>
          <w:p>
            <w:pPr>
              <w:pStyle w:val="16"/>
              <w:spacing w:before="30"/>
              <w:ind w:left="102"/>
              <w:jc w:val="center"/>
              <w:rPr>
                <w:sz w:val="20"/>
                <w:szCs w:val="20"/>
                <w:highlight w:val="none"/>
              </w:rPr>
            </w:pPr>
            <w:r>
              <w:rPr>
                <w:w w:val="99"/>
                <w:sz w:val="20"/>
                <w:szCs w:val="20"/>
                <w:highlight w:val="none"/>
              </w:rPr>
              <w:t xml:space="preserve"> </w:t>
            </w:r>
          </w:p>
        </w:tc>
        <w:tc>
          <w:tcPr>
            <w:tcW w:w="1901" w:type="dxa"/>
          </w:tcPr>
          <w:p>
            <w:pPr>
              <w:pStyle w:val="16"/>
              <w:spacing w:before="30"/>
              <w:ind w:right="838"/>
              <w:jc w:val="right"/>
              <w:rPr>
                <w:sz w:val="20"/>
                <w:szCs w:val="20"/>
                <w:highlight w:val="none"/>
              </w:rPr>
            </w:pPr>
            <w:r>
              <w:rPr>
                <w:w w:val="99"/>
                <w:sz w:val="20"/>
                <w:szCs w:val="20"/>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780" w:type="dxa"/>
            <w:gridSpan w:val="2"/>
          </w:tcPr>
          <w:p>
            <w:pPr>
              <w:pStyle w:val="16"/>
              <w:spacing w:before="27"/>
              <w:ind w:right="479"/>
              <w:jc w:val="right"/>
              <w:rPr>
                <w:sz w:val="20"/>
                <w:szCs w:val="20"/>
                <w:highlight w:val="none"/>
              </w:rPr>
            </w:pPr>
            <w:r>
              <w:rPr>
                <w:w w:val="99"/>
                <w:sz w:val="20"/>
                <w:szCs w:val="20"/>
                <w:highlight w:val="none"/>
              </w:rPr>
              <w:t xml:space="preserve"> </w:t>
            </w:r>
          </w:p>
          <w:p>
            <w:pPr>
              <w:pStyle w:val="16"/>
              <w:spacing w:before="27"/>
              <w:ind w:left="107"/>
              <w:rPr>
                <w:rFonts w:hint="default" w:eastAsia="宋体"/>
                <w:sz w:val="20"/>
                <w:szCs w:val="20"/>
                <w:highlight w:val="none"/>
                <w:lang w:val="en-US" w:eastAsia="zh-CN"/>
              </w:rPr>
            </w:pPr>
            <w:r>
              <w:rPr>
                <w:w w:val="99"/>
                <w:sz w:val="20"/>
                <w:szCs w:val="20"/>
                <w:highlight w:val="none"/>
              </w:rPr>
              <w:t xml:space="preserve"> </w:t>
            </w:r>
            <w:r>
              <w:rPr>
                <w:rFonts w:hint="eastAsia"/>
                <w:w w:val="99"/>
                <w:sz w:val="20"/>
                <w:szCs w:val="20"/>
                <w:highlight w:val="none"/>
                <w:lang w:val="en-US" w:eastAsia="zh-CN"/>
              </w:rPr>
              <w:t>此表为空表，本年度无相关业务发生</w:t>
            </w:r>
          </w:p>
        </w:tc>
        <w:tc>
          <w:tcPr>
            <w:tcW w:w="1782" w:type="dxa"/>
          </w:tcPr>
          <w:p>
            <w:pPr>
              <w:pStyle w:val="16"/>
              <w:spacing w:before="27"/>
              <w:ind w:left="109"/>
              <w:rPr>
                <w:sz w:val="20"/>
                <w:szCs w:val="20"/>
                <w:highlight w:val="none"/>
              </w:rPr>
            </w:pPr>
            <w:r>
              <w:rPr>
                <w:w w:val="99"/>
                <w:sz w:val="20"/>
                <w:szCs w:val="20"/>
                <w:highlight w:val="none"/>
              </w:rPr>
              <w:t xml:space="preserve"> </w:t>
            </w:r>
          </w:p>
        </w:tc>
        <w:tc>
          <w:tcPr>
            <w:tcW w:w="1781" w:type="dxa"/>
          </w:tcPr>
          <w:p>
            <w:pPr>
              <w:pStyle w:val="16"/>
              <w:spacing w:before="27"/>
              <w:ind w:left="106"/>
              <w:rPr>
                <w:sz w:val="20"/>
                <w:szCs w:val="20"/>
                <w:highlight w:val="none"/>
              </w:rPr>
            </w:pPr>
            <w:r>
              <w:rPr>
                <w:w w:val="99"/>
                <w:sz w:val="20"/>
                <w:szCs w:val="20"/>
                <w:highlight w:val="none"/>
              </w:rPr>
              <w:t xml:space="preserve"> </w:t>
            </w:r>
          </w:p>
        </w:tc>
        <w:tc>
          <w:tcPr>
            <w:tcW w:w="1539" w:type="dxa"/>
          </w:tcPr>
          <w:p>
            <w:pPr>
              <w:pStyle w:val="16"/>
              <w:spacing w:before="27"/>
              <w:ind w:left="106"/>
              <w:rPr>
                <w:sz w:val="20"/>
                <w:szCs w:val="20"/>
                <w:highlight w:val="none"/>
              </w:rPr>
            </w:pPr>
            <w:r>
              <w:rPr>
                <w:w w:val="99"/>
                <w:sz w:val="20"/>
                <w:szCs w:val="20"/>
                <w:highlight w:val="none"/>
              </w:rPr>
              <w:t xml:space="preserve"> </w:t>
            </w:r>
          </w:p>
        </w:tc>
        <w:tc>
          <w:tcPr>
            <w:tcW w:w="1601" w:type="dxa"/>
          </w:tcPr>
          <w:p>
            <w:pPr>
              <w:pStyle w:val="16"/>
              <w:spacing w:before="27"/>
              <w:ind w:left="108"/>
              <w:rPr>
                <w:sz w:val="20"/>
                <w:szCs w:val="20"/>
                <w:highlight w:val="none"/>
              </w:rPr>
            </w:pPr>
            <w:r>
              <w:rPr>
                <w:w w:val="99"/>
                <w:sz w:val="20"/>
                <w:szCs w:val="20"/>
                <w:highlight w:val="none"/>
              </w:rPr>
              <w:t xml:space="preserve"> </w:t>
            </w:r>
          </w:p>
        </w:tc>
        <w:tc>
          <w:tcPr>
            <w:tcW w:w="1519" w:type="dxa"/>
          </w:tcPr>
          <w:p>
            <w:pPr>
              <w:pStyle w:val="16"/>
              <w:spacing w:before="27"/>
              <w:ind w:left="105"/>
              <w:rPr>
                <w:sz w:val="20"/>
                <w:szCs w:val="20"/>
                <w:highlight w:val="none"/>
              </w:rPr>
            </w:pPr>
            <w:r>
              <w:rPr>
                <w:w w:val="99"/>
                <w:sz w:val="20"/>
                <w:szCs w:val="20"/>
                <w:highlight w:val="none"/>
              </w:rPr>
              <w:t xml:space="preserve"> </w:t>
            </w:r>
          </w:p>
        </w:tc>
        <w:tc>
          <w:tcPr>
            <w:tcW w:w="1901" w:type="dxa"/>
          </w:tcPr>
          <w:p>
            <w:pPr>
              <w:pStyle w:val="16"/>
              <w:spacing w:before="27"/>
              <w:ind w:left="108"/>
              <w:rPr>
                <w:sz w:val="20"/>
                <w:szCs w:val="20"/>
                <w:highlight w:val="none"/>
              </w:rPr>
            </w:pPr>
            <w:r>
              <w:rPr>
                <w:w w:val="99"/>
                <w:sz w:val="20"/>
                <w:szCs w:val="20"/>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81" w:type="dxa"/>
          </w:tcPr>
          <w:p>
            <w:pPr>
              <w:pStyle w:val="16"/>
              <w:spacing w:before="27"/>
              <w:ind w:right="479"/>
              <w:jc w:val="right"/>
              <w:rPr>
                <w:sz w:val="20"/>
                <w:szCs w:val="20"/>
                <w:highlight w:val="none"/>
              </w:rPr>
            </w:pPr>
            <w:r>
              <w:rPr>
                <w:w w:val="99"/>
                <w:sz w:val="20"/>
                <w:szCs w:val="20"/>
                <w:highlight w:val="none"/>
              </w:rPr>
              <w:t xml:space="preserve"> </w:t>
            </w:r>
          </w:p>
        </w:tc>
        <w:tc>
          <w:tcPr>
            <w:tcW w:w="1599" w:type="dxa"/>
          </w:tcPr>
          <w:p>
            <w:pPr>
              <w:pStyle w:val="16"/>
              <w:spacing w:before="27"/>
              <w:ind w:left="107"/>
              <w:rPr>
                <w:sz w:val="20"/>
                <w:szCs w:val="20"/>
                <w:highlight w:val="none"/>
              </w:rPr>
            </w:pPr>
            <w:r>
              <w:rPr>
                <w:w w:val="99"/>
                <w:sz w:val="20"/>
                <w:szCs w:val="20"/>
                <w:highlight w:val="none"/>
              </w:rPr>
              <w:t xml:space="preserve"> </w:t>
            </w:r>
          </w:p>
        </w:tc>
        <w:tc>
          <w:tcPr>
            <w:tcW w:w="1782" w:type="dxa"/>
          </w:tcPr>
          <w:p>
            <w:pPr>
              <w:pStyle w:val="16"/>
              <w:spacing w:before="27"/>
              <w:ind w:left="109"/>
              <w:rPr>
                <w:sz w:val="20"/>
                <w:szCs w:val="20"/>
                <w:highlight w:val="none"/>
              </w:rPr>
            </w:pPr>
            <w:r>
              <w:rPr>
                <w:w w:val="99"/>
                <w:sz w:val="20"/>
                <w:szCs w:val="20"/>
                <w:highlight w:val="none"/>
              </w:rPr>
              <w:t xml:space="preserve"> </w:t>
            </w:r>
          </w:p>
        </w:tc>
        <w:tc>
          <w:tcPr>
            <w:tcW w:w="1781" w:type="dxa"/>
          </w:tcPr>
          <w:p>
            <w:pPr>
              <w:pStyle w:val="16"/>
              <w:spacing w:before="27"/>
              <w:ind w:left="106"/>
              <w:rPr>
                <w:sz w:val="20"/>
                <w:szCs w:val="20"/>
                <w:highlight w:val="none"/>
              </w:rPr>
            </w:pPr>
            <w:r>
              <w:rPr>
                <w:w w:val="99"/>
                <w:sz w:val="20"/>
                <w:szCs w:val="20"/>
                <w:highlight w:val="none"/>
              </w:rPr>
              <w:t xml:space="preserve"> </w:t>
            </w:r>
          </w:p>
        </w:tc>
        <w:tc>
          <w:tcPr>
            <w:tcW w:w="1539" w:type="dxa"/>
          </w:tcPr>
          <w:p>
            <w:pPr>
              <w:pStyle w:val="16"/>
              <w:spacing w:before="27"/>
              <w:ind w:left="106"/>
              <w:rPr>
                <w:sz w:val="20"/>
                <w:szCs w:val="20"/>
                <w:highlight w:val="none"/>
              </w:rPr>
            </w:pPr>
            <w:r>
              <w:rPr>
                <w:w w:val="99"/>
                <w:sz w:val="20"/>
                <w:szCs w:val="20"/>
                <w:highlight w:val="none"/>
              </w:rPr>
              <w:t xml:space="preserve"> </w:t>
            </w:r>
          </w:p>
        </w:tc>
        <w:tc>
          <w:tcPr>
            <w:tcW w:w="1601" w:type="dxa"/>
          </w:tcPr>
          <w:p>
            <w:pPr>
              <w:pStyle w:val="16"/>
              <w:spacing w:before="27"/>
              <w:ind w:left="108"/>
              <w:rPr>
                <w:sz w:val="20"/>
                <w:szCs w:val="20"/>
                <w:highlight w:val="none"/>
              </w:rPr>
            </w:pPr>
            <w:r>
              <w:rPr>
                <w:w w:val="99"/>
                <w:sz w:val="20"/>
                <w:szCs w:val="20"/>
                <w:highlight w:val="none"/>
              </w:rPr>
              <w:t xml:space="preserve"> </w:t>
            </w:r>
          </w:p>
        </w:tc>
        <w:tc>
          <w:tcPr>
            <w:tcW w:w="1519" w:type="dxa"/>
          </w:tcPr>
          <w:p>
            <w:pPr>
              <w:pStyle w:val="16"/>
              <w:spacing w:before="27"/>
              <w:ind w:left="105"/>
              <w:rPr>
                <w:sz w:val="20"/>
                <w:szCs w:val="20"/>
                <w:highlight w:val="none"/>
              </w:rPr>
            </w:pPr>
            <w:r>
              <w:rPr>
                <w:w w:val="99"/>
                <w:sz w:val="20"/>
                <w:szCs w:val="20"/>
                <w:highlight w:val="none"/>
              </w:rPr>
              <w:t xml:space="preserve"> </w:t>
            </w:r>
          </w:p>
        </w:tc>
        <w:tc>
          <w:tcPr>
            <w:tcW w:w="1901" w:type="dxa"/>
          </w:tcPr>
          <w:p>
            <w:pPr>
              <w:pStyle w:val="16"/>
              <w:spacing w:before="27"/>
              <w:ind w:left="108"/>
              <w:rPr>
                <w:sz w:val="20"/>
                <w:szCs w:val="20"/>
                <w:highlight w:val="none"/>
              </w:rPr>
            </w:pPr>
            <w:r>
              <w:rPr>
                <w:w w:val="99"/>
                <w:sz w:val="20"/>
                <w:szCs w:val="20"/>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81" w:type="dxa"/>
          </w:tcPr>
          <w:p>
            <w:pPr>
              <w:pStyle w:val="16"/>
              <w:spacing w:before="27"/>
              <w:ind w:right="479"/>
              <w:jc w:val="right"/>
              <w:rPr>
                <w:sz w:val="20"/>
                <w:szCs w:val="20"/>
                <w:highlight w:val="none"/>
              </w:rPr>
            </w:pPr>
            <w:r>
              <w:rPr>
                <w:w w:val="99"/>
                <w:sz w:val="20"/>
                <w:szCs w:val="20"/>
                <w:highlight w:val="none"/>
              </w:rPr>
              <w:t xml:space="preserve"> </w:t>
            </w:r>
          </w:p>
        </w:tc>
        <w:tc>
          <w:tcPr>
            <w:tcW w:w="1599" w:type="dxa"/>
          </w:tcPr>
          <w:p>
            <w:pPr>
              <w:pStyle w:val="16"/>
              <w:spacing w:before="27"/>
              <w:ind w:left="107"/>
              <w:rPr>
                <w:sz w:val="20"/>
                <w:szCs w:val="20"/>
                <w:highlight w:val="none"/>
              </w:rPr>
            </w:pPr>
            <w:r>
              <w:rPr>
                <w:w w:val="99"/>
                <w:sz w:val="20"/>
                <w:szCs w:val="20"/>
                <w:highlight w:val="none"/>
              </w:rPr>
              <w:t xml:space="preserve"> </w:t>
            </w:r>
          </w:p>
        </w:tc>
        <w:tc>
          <w:tcPr>
            <w:tcW w:w="1782" w:type="dxa"/>
          </w:tcPr>
          <w:p>
            <w:pPr>
              <w:pStyle w:val="16"/>
              <w:spacing w:before="27"/>
              <w:ind w:left="109"/>
              <w:rPr>
                <w:sz w:val="20"/>
                <w:szCs w:val="20"/>
                <w:highlight w:val="none"/>
              </w:rPr>
            </w:pPr>
            <w:r>
              <w:rPr>
                <w:w w:val="99"/>
                <w:sz w:val="20"/>
                <w:szCs w:val="20"/>
                <w:highlight w:val="none"/>
              </w:rPr>
              <w:t xml:space="preserve"> </w:t>
            </w:r>
          </w:p>
        </w:tc>
        <w:tc>
          <w:tcPr>
            <w:tcW w:w="1781" w:type="dxa"/>
          </w:tcPr>
          <w:p>
            <w:pPr>
              <w:pStyle w:val="16"/>
              <w:spacing w:before="27"/>
              <w:ind w:left="106"/>
              <w:rPr>
                <w:sz w:val="20"/>
                <w:szCs w:val="20"/>
                <w:highlight w:val="none"/>
              </w:rPr>
            </w:pPr>
            <w:r>
              <w:rPr>
                <w:w w:val="99"/>
                <w:sz w:val="20"/>
                <w:szCs w:val="20"/>
                <w:highlight w:val="none"/>
              </w:rPr>
              <w:t xml:space="preserve"> </w:t>
            </w:r>
          </w:p>
        </w:tc>
        <w:tc>
          <w:tcPr>
            <w:tcW w:w="1539" w:type="dxa"/>
          </w:tcPr>
          <w:p>
            <w:pPr>
              <w:pStyle w:val="16"/>
              <w:spacing w:before="27"/>
              <w:ind w:left="106"/>
              <w:rPr>
                <w:sz w:val="20"/>
                <w:szCs w:val="20"/>
                <w:highlight w:val="none"/>
              </w:rPr>
            </w:pPr>
            <w:r>
              <w:rPr>
                <w:w w:val="99"/>
                <w:sz w:val="20"/>
                <w:szCs w:val="20"/>
                <w:highlight w:val="none"/>
              </w:rPr>
              <w:t xml:space="preserve"> </w:t>
            </w:r>
          </w:p>
        </w:tc>
        <w:tc>
          <w:tcPr>
            <w:tcW w:w="1601" w:type="dxa"/>
          </w:tcPr>
          <w:p>
            <w:pPr>
              <w:pStyle w:val="16"/>
              <w:spacing w:before="27"/>
              <w:ind w:left="108"/>
              <w:rPr>
                <w:sz w:val="20"/>
                <w:szCs w:val="20"/>
                <w:highlight w:val="none"/>
              </w:rPr>
            </w:pPr>
            <w:r>
              <w:rPr>
                <w:w w:val="99"/>
                <w:sz w:val="20"/>
                <w:szCs w:val="20"/>
                <w:highlight w:val="none"/>
              </w:rPr>
              <w:t xml:space="preserve"> </w:t>
            </w:r>
          </w:p>
        </w:tc>
        <w:tc>
          <w:tcPr>
            <w:tcW w:w="1519" w:type="dxa"/>
          </w:tcPr>
          <w:p>
            <w:pPr>
              <w:pStyle w:val="16"/>
              <w:spacing w:before="27"/>
              <w:ind w:left="105"/>
              <w:rPr>
                <w:sz w:val="20"/>
                <w:szCs w:val="20"/>
                <w:highlight w:val="none"/>
              </w:rPr>
            </w:pPr>
            <w:r>
              <w:rPr>
                <w:w w:val="99"/>
                <w:sz w:val="20"/>
                <w:szCs w:val="20"/>
                <w:highlight w:val="none"/>
              </w:rPr>
              <w:t xml:space="preserve"> </w:t>
            </w:r>
          </w:p>
        </w:tc>
        <w:tc>
          <w:tcPr>
            <w:tcW w:w="1901" w:type="dxa"/>
          </w:tcPr>
          <w:p>
            <w:pPr>
              <w:pStyle w:val="16"/>
              <w:spacing w:before="27"/>
              <w:ind w:left="108"/>
              <w:rPr>
                <w:sz w:val="20"/>
                <w:szCs w:val="20"/>
                <w:highlight w:val="none"/>
              </w:rPr>
            </w:pPr>
            <w:r>
              <w:rPr>
                <w:w w:val="99"/>
                <w:sz w:val="20"/>
                <w:szCs w:val="20"/>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81" w:type="dxa"/>
          </w:tcPr>
          <w:p>
            <w:pPr>
              <w:pStyle w:val="16"/>
              <w:spacing w:before="28"/>
              <w:ind w:right="479"/>
              <w:jc w:val="right"/>
              <w:rPr>
                <w:sz w:val="20"/>
                <w:szCs w:val="20"/>
                <w:highlight w:val="none"/>
              </w:rPr>
            </w:pPr>
            <w:r>
              <w:rPr>
                <w:w w:val="99"/>
                <w:sz w:val="20"/>
                <w:szCs w:val="20"/>
                <w:highlight w:val="none"/>
              </w:rPr>
              <w:t xml:space="preserve"> </w:t>
            </w:r>
          </w:p>
        </w:tc>
        <w:tc>
          <w:tcPr>
            <w:tcW w:w="1599" w:type="dxa"/>
          </w:tcPr>
          <w:p>
            <w:pPr>
              <w:pStyle w:val="16"/>
              <w:spacing w:before="28"/>
              <w:ind w:left="107"/>
              <w:rPr>
                <w:sz w:val="20"/>
                <w:szCs w:val="20"/>
                <w:highlight w:val="none"/>
              </w:rPr>
            </w:pPr>
            <w:r>
              <w:rPr>
                <w:w w:val="99"/>
                <w:sz w:val="20"/>
                <w:szCs w:val="20"/>
                <w:highlight w:val="none"/>
              </w:rPr>
              <w:t xml:space="preserve"> </w:t>
            </w:r>
          </w:p>
        </w:tc>
        <w:tc>
          <w:tcPr>
            <w:tcW w:w="1782" w:type="dxa"/>
          </w:tcPr>
          <w:p>
            <w:pPr>
              <w:pStyle w:val="16"/>
              <w:spacing w:before="28"/>
              <w:ind w:left="109"/>
              <w:rPr>
                <w:sz w:val="20"/>
                <w:szCs w:val="20"/>
                <w:highlight w:val="none"/>
              </w:rPr>
            </w:pPr>
            <w:r>
              <w:rPr>
                <w:w w:val="99"/>
                <w:sz w:val="20"/>
                <w:szCs w:val="20"/>
                <w:highlight w:val="none"/>
              </w:rPr>
              <w:t xml:space="preserve"> </w:t>
            </w:r>
          </w:p>
        </w:tc>
        <w:tc>
          <w:tcPr>
            <w:tcW w:w="1781" w:type="dxa"/>
          </w:tcPr>
          <w:p>
            <w:pPr>
              <w:pStyle w:val="16"/>
              <w:spacing w:before="28"/>
              <w:ind w:left="106"/>
              <w:rPr>
                <w:sz w:val="20"/>
                <w:szCs w:val="20"/>
                <w:highlight w:val="none"/>
              </w:rPr>
            </w:pPr>
            <w:r>
              <w:rPr>
                <w:w w:val="99"/>
                <w:sz w:val="20"/>
                <w:szCs w:val="20"/>
                <w:highlight w:val="none"/>
              </w:rPr>
              <w:t xml:space="preserve"> </w:t>
            </w:r>
          </w:p>
        </w:tc>
        <w:tc>
          <w:tcPr>
            <w:tcW w:w="1539" w:type="dxa"/>
          </w:tcPr>
          <w:p>
            <w:pPr>
              <w:pStyle w:val="16"/>
              <w:spacing w:before="28"/>
              <w:ind w:left="106"/>
              <w:rPr>
                <w:sz w:val="20"/>
                <w:szCs w:val="20"/>
                <w:highlight w:val="none"/>
              </w:rPr>
            </w:pPr>
            <w:r>
              <w:rPr>
                <w:w w:val="99"/>
                <w:sz w:val="20"/>
                <w:szCs w:val="20"/>
                <w:highlight w:val="none"/>
              </w:rPr>
              <w:t xml:space="preserve"> </w:t>
            </w:r>
          </w:p>
        </w:tc>
        <w:tc>
          <w:tcPr>
            <w:tcW w:w="1601" w:type="dxa"/>
          </w:tcPr>
          <w:p>
            <w:pPr>
              <w:pStyle w:val="16"/>
              <w:spacing w:before="28"/>
              <w:ind w:left="108"/>
              <w:rPr>
                <w:sz w:val="20"/>
                <w:szCs w:val="20"/>
                <w:highlight w:val="none"/>
              </w:rPr>
            </w:pPr>
            <w:r>
              <w:rPr>
                <w:w w:val="99"/>
                <w:sz w:val="20"/>
                <w:szCs w:val="20"/>
                <w:highlight w:val="none"/>
              </w:rPr>
              <w:t xml:space="preserve"> </w:t>
            </w:r>
          </w:p>
        </w:tc>
        <w:tc>
          <w:tcPr>
            <w:tcW w:w="1519" w:type="dxa"/>
          </w:tcPr>
          <w:p>
            <w:pPr>
              <w:pStyle w:val="16"/>
              <w:spacing w:before="28"/>
              <w:ind w:left="105"/>
              <w:rPr>
                <w:sz w:val="20"/>
                <w:szCs w:val="20"/>
                <w:highlight w:val="none"/>
              </w:rPr>
            </w:pPr>
            <w:r>
              <w:rPr>
                <w:w w:val="99"/>
                <w:sz w:val="20"/>
                <w:szCs w:val="20"/>
                <w:highlight w:val="none"/>
              </w:rPr>
              <w:t xml:space="preserve"> </w:t>
            </w:r>
          </w:p>
        </w:tc>
        <w:tc>
          <w:tcPr>
            <w:tcW w:w="1901" w:type="dxa"/>
          </w:tcPr>
          <w:p>
            <w:pPr>
              <w:pStyle w:val="16"/>
              <w:spacing w:before="28"/>
              <w:ind w:left="108"/>
              <w:rPr>
                <w:sz w:val="20"/>
                <w:szCs w:val="20"/>
                <w:highlight w:val="none"/>
              </w:rPr>
            </w:pPr>
            <w:r>
              <w:rPr>
                <w:w w:val="99"/>
                <w:sz w:val="20"/>
                <w:szCs w:val="20"/>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81" w:type="dxa"/>
          </w:tcPr>
          <w:p>
            <w:pPr>
              <w:pStyle w:val="16"/>
              <w:spacing w:before="30"/>
              <w:ind w:right="479"/>
              <w:jc w:val="right"/>
              <w:rPr>
                <w:sz w:val="20"/>
                <w:szCs w:val="20"/>
                <w:highlight w:val="none"/>
              </w:rPr>
            </w:pPr>
            <w:r>
              <w:rPr>
                <w:w w:val="99"/>
                <w:sz w:val="20"/>
                <w:szCs w:val="20"/>
                <w:highlight w:val="none"/>
              </w:rPr>
              <w:t xml:space="preserve"> </w:t>
            </w:r>
          </w:p>
        </w:tc>
        <w:tc>
          <w:tcPr>
            <w:tcW w:w="1599" w:type="dxa"/>
          </w:tcPr>
          <w:p>
            <w:pPr>
              <w:pStyle w:val="16"/>
              <w:spacing w:before="30"/>
              <w:ind w:left="107"/>
              <w:rPr>
                <w:sz w:val="20"/>
                <w:szCs w:val="20"/>
                <w:highlight w:val="none"/>
              </w:rPr>
            </w:pPr>
            <w:r>
              <w:rPr>
                <w:w w:val="99"/>
                <w:sz w:val="20"/>
                <w:szCs w:val="20"/>
                <w:highlight w:val="none"/>
              </w:rPr>
              <w:t xml:space="preserve"> </w:t>
            </w:r>
          </w:p>
        </w:tc>
        <w:tc>
          <w:tcPr>
            <w:tcW w:w="1782" w:type="dxa"/>
          </w:tcPr>
          <w:p>
            <w:pPr>
              <w:pStyle w:val="16"/>
              <w:spacing w:before="30"/>
              <w:ind w:left="109"/>
              <w:rPr>
                <w:sz w:val="20"/>
                <w:szCs w:val="20"/>
                <w:highlight w:val="none"/>
              </w:rPr>
            </w:pPr>
            <w:r>
              <w:rPr>
                <w:w w:val="99"/>
                <w:sz w:val="20"/>
                <w:szCs w:val="20"/>
                <w:highlight w:val="none"/>
              </w:rPr>
              <w:t xml:space="preserve"> </w:t>
            </w:r>
          </w:p>
        </w:tc>
        <w:tc>
          <w:tcPr>
            <w:tcW w:w="1781" w:type="dxa"/>
          </w:tcPr>
          <w:p>
            <w:pPr>
              <w:pStyle w:val="16"/>
              <w:spacing w:before="30"/>
              <w:ind w:left="106"/>
              <w:rPr>
                <w:sz w:val="20"/>
                <w:szCs w:val="20"/>
                <w:highlight w:val="none"/>
              </w:rPr>
            </w:pPr>
            <w:r>
              <w:rPr>
                <w:w w:val="99"/>
                <w:sz w:val="20"/>
                <w:szCs w:val="20"/>
                <w:highlight w:val="none"/>
              </w:rPr>
              <w:t xml:space="preserve"> </w:t>
            </w:r>
          </w:p>
        </w:tc>
        <w:tc>
          <w:tcPr>
            <w:tcW w:w="1539" w:type="dxa"/>
          </w:tcPr>
          <w:p>
            <w:pPr>
              <w:pStyle w:val="16"/>
              <w:spacing w:before="30"/>
              <w:ind w:left="106"/>
              <w:rPr>
                <w:sz w:val="20"/>
                <w:szCs w:val="20"/>
                <w:highlight w:val="none"/>
              </w:rPr>
            </w:pPr>
            <w:r>
              <w:rPr>
                <w:w w:val="99"/>
                <w:sz w:val="20"/>
                <w:szCs w:val="20"/>
                <w:highlight w:val="none"/>
              </w:rPr>
              <w:t xml:space="preserve"> </w:t>
            </w:r>
          </w:p>
        </w:tc>
        <w:tc>
          <w:tcPr>
            <w:tcW w:w="1601" w:type="dxa"/>
          </w:tcPr>
          <w:p>
            <w:pPr>
              <w:pStyle w:val="16"/>
              <w:spacing w:before="30"/>
              <w:ind w:left="108"/>
              <w:rPr>
                <w:sz w:val="20"/>
                <w:szCs w:val="20"/>
                <w:highlight w:val="none"/>
              </w:rPr>
            </w:pPr>
            <w:r>
              <w:rPr>
                <w:w w:val="99"/>
                <w:sz w:val="20"/>
                <w:szCs w:val="20"/>
                <w:highlight w:val="none"/>
              </w:rPr>
              <w:t xml:space="preserve"> </w:t>
            </w:r>
          </w:p>
        </w:tc>
        <w:tc>
          <w:tcPr>
            <w:tcW w:w="1519" w:type="dxa"/>
          </w:tcPr>
          <w:p>
            <w:pPr>
              <w:pStyle w:val="16"/>
              <w:spacing w:before="30"/>
              <w:ind w:left="105"/>
              <w:rPr>
                <w:sz w:val="20"/>
                <w:szCs w:val="20"/>
                <w:highlight w:val="none"/>
              </w:rPr>
            </w:pPr>
            <w:r>
              <w:rPr>
                <w:w w:val="99"/>
                <w:sz w:val="20"/>
                <w:szCs w:val="20"/>
                <w:highlight w:val="none"/>
              </w:rPr>
              <w:t xml:space="preserve"> </w:t>
            </w:r>
          </w:p>
        </w:tc>
        <w:tc>
          <w:tcPr>
            <w:tcW w:w="1901" w:type="dxa"/>
          </w:tcPr>
          <w:p>
            <w:pPr>
              <w:pStyle w:val="16"/>
              <w:spacing w:before="30"/>
              <w:ind w:left="108"/>
              <w:rPr>
                <w:sz w:val="20"/>
                <w:szCs w:val="20"/>
                <w:highlight w:val="none"/>
              </w:rPr>
            </w:pPr>
            <w:r>
              <w:rPr>
                <w:w w:val="99"/>
                <w:sz w:val="20"/>
                <w:szCs w:val="20"/>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81" w:type="dxa"/>
          </w:tcPr>
          <w:p>
            <w:pPr>
              <w:pStyle w:val="16"/>
              <w:spacing w:before="30"/>
              <w:ind w:right="479"/>
              <w:jc w:val="right"/>
              <w:rPr>
                <w:sz w:val="20"/>
                <w:szCs w:val="20"/>
                <w:highlight w:val="none"/>
              </w:rPr>
            </w:pPr>
            <w:r>
              <w:rPr>
                <w:w w:val="99"/>
                <w:sz w:val="20"/>
                <w:szCs w:val="20"/>
                <w:highlight w:val="none"/>
              </w:rPr>
              <w:t xml:space="preserve"> </w:t>
            </w:r>
          </w:p>
        </w:tc>
        <w:tc>
          <w:tcPr>
            <w:tcW w:w="1599" w:type="dxa"/>
          </w:tcPr>
          <w:p>
            <w:pPr>
              <w:pStyle w:val="16"/>
              <w:spacing w:before="30"/>
              <w:ind w:left="107"/>
              <w:rPr>
                <w:sz w:val="20"/>
                <w:szCs w:val="20"/>
                <w:highlight w:val="none"/>
              </w:rPr>
            </w:pPr>
            <w:r>
              <w:rPr>
                <w:w w:val="99"/>
                <w:sz w:val="20"/>
                <w:szCs w:val="20"/>
                <w:highlight w:val="none"/>
              </w:rPr>
              <w:t xml:space="preserve"> </w:t>
            </w:r>
          </w:p>
        </w:tc>
        <w:tc>
          <w:tcPr>
            <w:tcW w:w="1782" w:type="dxa"/>
          </w:tcPr>
          <w:p>
            <w:pPr>
              <w:pStyle w:val="16"/>
              <w:spacing w:before="30"/>
              <w:ind w:left="109"/>
              <w:rPr>
                <w:sz w:val="20"/>
                <w:szCs w:val="20"/>
                <w:highlight w:val="none"/>
              </w:rPr>
            </w:pPr>
            <w:r>
              <w:rPr>
                <w:w w:val="99"/>
                <w:sz w:val="20"/>
                <w:szCs w:val="20"/>
                <w:highlight w:val="none"/>
              </w:rPr>
              <w:t xml:space="preserve"> </w:t>
            </w:r>
          </w:p>
        </w:tc>
        <w:tc>
          <w:tcPr>
            <w:tcW w:w="1781" w:type="dxa"/>
          </w:tcPr>
          <w:p>
            <w:pPr>
              <w:pStyle w:val="16"/>
              <w:spacing w:before="30"/>
              <w:ind w:left="106"/>
              <w:rPr>
                <w:sz w:val="20"/>
                <w:szCs w:val="20"/>
                <w:highlight w:val="none"/>
              </w:rPr>
            </w:pPr>
            <w:r>
              <w:rPr>
                <w:w w:val="99"/>
                <w:sz w:val="20"/>
                <w:szCs w:val="20"/>
                <w:highlight w:val="none"/>
              </w:rPr>
              <w:t xml:space="preserve"> </w:t>
            </w:r>
          </w:p>
        </w:tc>
        <w:tc>
          <w:tcPr>
            <w:tcW w:w="1539" w:type="dxa"/>
          </w:tcPr>
          <w:p>
            <w:pPr>
              <w:pStyle w:val="16"/>
              <w:spacing w:before="30"/>
              <w:ind w:left="106"/>
              <w:rPr>
                <w:sz w:val="20"/>
                <w:szCs w:val="20"/>
                <w:highlight w:val="none"/>
              </w:rPr>
            </w:pPr>
            <w:r>
              <w:rPr>
                <w:w w:val="99"/>
                <w:sz w:val="20"/>
                <w:szCs w:val="20"/>
                <w:highlight w:val="none"/>
              </w:rPr>
              <w:t xml:space="preserve"> </w:t>
            </w:r>
          </w:p>
        </w:tc>
        <w:tc>
          <w:tcPr>
            <w:tcW w:w="1601" w:type="dxa"/>
          </w:tcPr>
          <w:p>
            <w:pPr>
              <w:pStyle w:val="16"/>
              <w:spacing w:before="30"/>
              <w:ind w:left="108"/>
              <w:rPr>
                <w:sz w:val="20"/>
                <w:szCs w:val="20"/>
                <w:highlight w:val="none"/>
              </w:rPr>
            </w:pPr>
            <w:r>
              <w:rPr>
                <w:w w:val="99"/>
                <w:sz w:val="20"/>
                <w:szCs w:val="20"/>
                <w:highlight w:val="none"/>
              </w:rPr>
              <w:t xml:space="preserve"> </w:t>
            </w:r>
          </w:p>
        </w:tc>
        <w:tc>
          <w:tcPr>
            <w:tcW w:w="1519" w:type="dxa"/>
          </w:tcPr>
          <w:p>
            <w:pPr>
              <w:pStyle w:val="16"/>
              <w:spacing w:before="30"/>
              <w:ind w:left="105"/>
              <w:rPr>
                <w:sz w:val="20"/>
                <w:szCs w:val="20"/>
                <w:highlight w:val="none"/>
              </w:rPr>
            </w:pPr>
            <w:r>
              <w:rPr>
                <w:w w:val="99"/>
                <w:sz w:val="20"/>
                <w:szCs w:val="20"/>
                <w:highlight w:val="none"/>
              </w:rPr>
              <w:t xml:space="preserve"> </w:t>
            </w:r>
          </w:p>
        </w:tc>
        <w:tc>
          <w:tcPr>
            <w:tcW w:w="1901" w:type="dxa"/>
          </w:tcPr>
          <w:p>
            <w:pPr>
              <w:pStyle w:val="16"/>
              <w:spacing w:before="30"/>
              <w:ind w:left="108"/>
              <w:rPr>
                <w:sz w:val="20"/>
                <w:szCs w:val="20"/>
                <w:highlight w:val="none"/>
              </w:rPr>
            </w:pPr>
            <w:r>
              <w:rPr>
                <w:w w:val="99"/>
                <w:sz w:val="20"/>
                <w:szCs w:val="20"/>
                <w:highlight w:val="none"/>
              </w:rPr>
              <w:t xml:space="preserve"> </w:t>
            </w:r>
          </w:p>
        </w:tc>
      </w:tr>
    </w:tbl>
    <w:p>
      <w:pPr>
        <w:spacing w:before="25"/>
        <w:ind w:left="756"/>
        <w:rPr>
          <w:sz w:val="20"/>
          <w:highlight w:val="none"/>
        </w:rPr>
      </w:pPr>
      <w:r>
        <w:rPr>
          <w:sz w:val="20"/>
          <w:highlight w:val="none"/>
        </w:rPr>
        <w:t>注：</w:t>
      </w:r>
      <w:r>
        <w:rPr>
          <w:rFonts w:ascii="Times New Roman" w:eastAsia="Times New Roman"/>
          <w:sz w:val="20"/>
          <w:highlight w:val="none"/>
        </w:rPr>
        <w:t xml:space="preserve">1. </w:t>
      </w:r>
      <w:r>
        <w:rPr>
          <w:sz w:val="20"/>
          <w:highlight w:val="none"/>
        </w:rPr>
        <w:t>本表反映部门本年度按功能分类政府性基金预算财政拨款收支及结转和结余情况。</w:t>
      </w:r>
    </w:p>
    <w:p>
      <w:pPr>
        <w:spacing w:before="56"/>
        <w:ind w:left="1058"/>
        <w:rPr>
          <w:sz w:val="20"/>
          <w:highlight w:val="none"/>
        </w:rPr>
      </w:pPr>
      <w:r>
        <w:rPr>
          <w:rFonts w:ascii="Times New Roman" w:hAnsi="Times New Roman" w:eastAsia="Times New Roman"/>
          <w:sz w:val="20"/>
          <w:highlight w:val="none"/>
        </w:rPr>
        <w:t>2. “</w:t>
      </w:r>
      <w:r>
        <w:rPr>
          <w:sz w:val="20"/>
          <w:highlight w:val="none"/>
        </w:rPr>
        <w:t>科目编码</w:t>
      </w:r>
      <w:r>
        <w:rPr>
          <w:rFonts w:ascii="Times New Roman" w:hAnsi="Times New Roman" w:eastAsia="Times New Roman"/>
          <w:sz w:val="20"/>
          <w:highlight w:val="none"/>
        </w:rPr>
        <w:t>”</w:t>
      </w:r>
      <w:r>
        <w:rPr>
          <w:sz w:val="20"/>
          <w:highlight w:val="none"/>
        </w:rPr>
        <w:t>和</w:t>
      </w:r>
      <w:r>
        <w:rPr>
          <w:rFonts w:ascii="Times New Roman" w:hAnsi="Times New Roman" w:eastAsia="Times New Roman"/>
          <w:sz w:val="20"/>
          <w:highlight w:val="none"/>
        </w:rPr>
        <w:t>“</w:t>
      </w:r>
      <w:r>
        <w:rPr>
          <w:sz w:val="20"/>
          <w:highlight w:val="none"/>
        </w:rPr>
        <w:t>科目名称</w:t>
      </w:r>
      <w:r>
        <w:rPr>
          <w:rFonts w:ascii="Times New Roman" w:hAnsi="Times New Roman" w:eastAsia="Times New Roman"/>
          <w:sz w:val="20"/>
          <w:highlight w:val="none"/>
        </w:rPr>
        <w:t>”</w:t>
      </w:r>
      <w:r>
        <w:rPr>
          <w:sz w:val="20"/>
          <w:highlight w:val="none"/>
        </w:rPr>
        <w:t>均为必填项。</w:t>
      </w:r>
    </w:p>
    <w:p>
      <w:pPr>
        <w:rPr>
          <w:sz w:val="20"/>
          <w:highlight w:val="none"/>
        </w:rPr>
        <w:sectPr>
          <w:pgSz w:w="16840" w:h="11910" w:orient="landscape"/>
          <w:pgMar w:top="1100" w:right="1320" w:bottom="280" w:left="1320" w:header="720" w:footer="720" w:gutter="0"/>
          <w:cols w:space="720" w:num="1"/>
        </w:sectPr>
      </w:pPr>
    </w:p>
    <w:p>
      <w:pPr>
        <w:pStyle w:val="2"/>
        <w:rPr>
          <w:sz w:val="20"/>
          <w:highlight w:val="none"/>
        </w:rPr>
      </w:pPr>
    </w:p>
    <w:p>
      <w:pPr>
        <w:pStyle w:val="2"/>
        <w:rPr>
          <w:sz w:val="20"/>
          <w:highlight w:val="none"/>
        </w:rPr>
      </w:pPr>
    </w:p>
    <w:p>
      <w:pPr>
        <w:pStyle w:val="2"/>
        <w:spacing w:before="5"/>
        <w:rPr>
          <w:sz w:val="27"/>
          <w:highlight w:val="none"/>
        </w:rPr>
      </w:pPr>
    </w:p>
    <w:p>
      <w:pPr>
        <w:pStyle w:val="12"/>
        <w:spacing w:before="51"/>
        <w:ind w:left="1"/>
        <w:rPr>
          <w:highlight w:val="none"/>
        </w:rPr>
      </w:pPr>
      <w:r>
        <w:rPr>
          <w:highlight w:val="none"/>
        </w:rPr>
        <w:t>一般公共预算机关运行经费支出决算表</w:t>
      </w:r>
    </w:p>
    <w:p>
      <w:pPr>
        <w:pStyle w:val="2"/>
        <w:spacing w:before="8"/>
        <w:rPr>
          <w:sz w:val="29"/>
          <w:highlight w:val="none"/>
        </w:rPr>
      </w:pPr>
    </w:p>
    <w:p>
      <w:pPr>
        <w:spacing w:before="78"/>
        <w:ind w:right="225"/>
        <w:jc w:val="right"/>
        <w:rPr>
          <w:sz w:val="20"/>
          <w:highlight w:val="none"/>
        </w:rPr>
      </w:pPr>
      <w:r>
        <w:rPr>
          <w:spacing w:val="-18"/>
          <w:sz w:val="20"/>
          <w:highlight w:val="none"/>
        </w:rPr>
        <w:t xml:space="preserve">公开 </w:t>
      </w:r>
      <w:r>
        <w:rPr>
          <w:rFonts w:ascii="Times New Roman" w:eastAsia="Times New Roman"/>
          <w:sz w:val="20"/>
          <w:highlight w:val="none"/>
        </w:rPr>
        <w:t xml:space="preserve">11 </w:t>
      </w:r>
      <w:r>
        <w:rPr>
          <w:sz w:val="20"/>
          <w:highlight w:val="none"/>
        </w:rPr>
        <w:t>表</w:t>
      </w:r>
    </w:p>
    <w:p>
      <w:pPr>
        <w:pStyle w:val="2"/>
        <w:spacing w:before="9"/>
        <w:rPr>
          <w:sz w:val="16"/>
          <w:highlight w:val="none"/>
        </w:rPr>
      </w:pPr>
    </w:p>
    <w:p>
      <w:pPr>
        <w:tabs>
          <w:tab w:val="left" w:pos="12345"/>
        </w:tabs>
        <w:spacing w:after="35"/>
        <w:ind w:right="226"/>
        <w:jc w:val="right"/>
        <w:rPr>
          <w:sz w:val="20"/>
          <w:highlight w:val="none"/>
        </w:rPr>
      </w:pPr>
      <w:r>
        <w:rPr>
          <w:sz w:val="20"/>
          <w:highlight w:val="none"/>
        </w:rPr>
        <w:t>部门名称：</w:t>
      </w:r>
      <w:r>
        <w:rPr>
          <w:rFonts w:hint="eastAsia" w:ascii="Times New Roman"/>
          <w:sz w:val="20"/>
          <w:highlight w:val="none"/>
          <w:lang w:eastAsia="zh-CN"/>
        </w:rPr>
        <w:t>连云港市海州区人民检察院</w:t>
      </w:r>
      <w:r>
        <w:rPr>
          <w:rFonts w:ascii="Times New Roman" w:eastAsia="Times New Roman"/>
          <w:sz w:val="20"/>
          <w:highlight w:val="none"/>
        </w:rPr>
        <w:tab/>
      </w:r>
      <w:r>
        <w:rPr>
          <w:w w:val="95"/>
          <w:sz w:val="20"/>
          <w:highlight w:val="none"/>
        </w:rPr>
        <w:t>金额单位：万元</w:t>
      </w:r>
    </w:p>
    <w:tbl>
      <w:tblPr>
        <w:tblStyle w:val="8"/>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6"/>
        <w:gridCol w:w="4091"/>
        <w:gridCol w:w="7355"/>
      </w:tblGrid>
      <w:tr>
        <w:tblPrEx>
          <w:tblCellMar>
            <w:top w:w="0" w:type="dxa"/>
            <w:left w:w="0" w:type="dxa"/>
            <w:bottom w:w="0" w:type="dxa"/>
            <w:right w:w="0" w:type="dxa"/>
          </w:tblCellMar>
        </w:tblPrEx>
        <w:trPr>
          <w:trHeight w:val="319" w:hRule="atLeast"/>
        </w:trPr>
        <w:tc>
          <w:tcPr>
            <w:tcW w:w="6607" w:type="dxa"/>
            <w:gridSpan w:val="2"/>
          </w:tcPr>
          <w:p>
            <w:pPr>
              <w:pStyle w:val="16"/>
              <w:tabs>
                <w:tab w:val="left" w:pos="610"/>
              </w:tabs>
              <w:spacing w:before="28"/>
              <w:ind w:left="8"/>
              <w:jc w:val="center"/>
              <w:rPr>
                <w:sz w:val="20"/>
                <w:szCs w:val="20"/>
                <w:highlight w:val="none"/>
              </w:rPr>
            </w:pPr>
            <w:r>
              <w:rPr>
                <w:sz w:val="20"/>
                <w:szCs w:val="20"/>
                <w:highlight w:val="none"/>
              </w:rPr>
              <w:t>项</w:t>
            </w:r>
            <w:r>
              <w:rPr>
                <w:sz w:val="20"/>
                <w:szCs w:val="20"/>
                <w:highlight w:val="none"/>
              </w:rPr>
              <w:tab/>
            </w:r>
            <w:r>
              <w:rPr>
                <w:sz w:val="20"/>
                <w:szCs w:val="20"/>
                <w:highlight w:val="none"/>
              </w:rPr>
              <w:t>目</w:t>
            </w:r>
          </w:p>
        </w:tc>
        <w:tc>
          <w:tcPr>
            <w:tcW w:w="7355" w:type="dxa"/>
            <w:vMerge w:val="restart"/>
          </w:tcPr>
          <w:p>
            <w:pPr>
              <w:pStyle w:val="16"/>
              <w:spacing w:before="8"/>
              <w:rPr>
                <w:sz w:val="20"/>
                <w:szCs w:val="20"/>
                <w:highlight w:val="none"/>
              </w:rPr>
            </w:pPr>
          </w:p>
          <w:p>
            <w:pPr>
              <w:pStyle w:val="16"/>
              <w:spacing w:before="1"/>
              <w:ind w:left="2653" w:right="2652"/>
              <w:jc w:val="center"/>
              <w:rPr>
                <w:sz w:val="20"/>
                <w:szCs w:val="20"/>
                <w:highlight w:val="none"/>
              </w:rPr>
            </w:pPr>
            <w:r>
              <w:rPr>
                <w:sz w:val="20"/>
                <w:szCs w:val="20"/>
                <w:highlight w:val="none"/>
              </w:rPr>
              <w:t>机关运行经费支出决算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516" w:type="dxa"/>
          </w:tcPr>
          <w:p>
            <w:pPr>
              <w:pStyle w:val="16"/>
              <w:spacing w:before="11"/>
              <w:rPr>
                <w:sz w:val="20"/>
                <w:szCs w:val="20"/>
                <w:highlight w:val="none"/>
              </w:rPr>
            </w:pPr>
          </w:p>
          <w:p>
            <w:pPr>
              <w:pStyle w:val="16"/>
              <w:spacing w:before="0"/>
              <w:ind w:left="835" w:right="831"/>
              <w:jc w:val="center"/>
              <w:rPr>
                <w:sz w:val="20"/>
                <w:szCs w:val="20"/>
                <w:highlight w:val="none"/>
              </w:rPr>
            </w:pPr>
            <w:r>
              <w:rPr>
                <w:sz w:val="20"/>
                <w:szCs w:val="20"/>
                <w:highlight w:val="none"/>
              </w:rPr>
              <w:t>科目编码</w:t>
            </w:r>
          </w:p>
        </w:tc>
        <w:tc>
          <w:tcPr>
            <w:tcW w:w="4091" w:type="dxa"/>
          </w:tcPr>
          <w:p>
            <w:pPr>
              <w:pStyle w:val="16"/>
              <w:spacing w:before="11"/>
              <w:rPr>
                <w:sz w:val="20"/>
                <w:szCs w:val="20"/>
                <w:highlight w:val="none"/>
              </w:rPr>
            </w:pPr>
          </w:p>
          <w:p>
            <w:pPr>
              <w:pStyle w:val="16"/>
              <w:spacing w:before="0"/>
              <w:ind w:left="1622" w:right="1619"/>
              <w:jc w:val="center"/>
              <w:rPr>
                <w:sz w:val="20"/>
                <w:szCs w:val="20"/>
                <w:highlight w:val="none"/>
              </w:rPr>
            </w:pPr>
            <w:r>
              <w:rPr>
                <w:sz w:val="20"/>
                <w:szCs w:val="20"/>
                <w:highlight w:val="none"/>
              </w:rPr>
              <w:t>科目名称</w:t>
            </w:r>
          </w:p>
        </w:tc>
        <w:tc>
          <w:tcPr>
            <w:tcW w:w="7355" w:type="dxa"/>
            <w:vMerge w:val="continue"/>
            <w:tcBorders>
              <w:top w:val="nil"/>
            </w:tcBorders>
          </w:tcPr>
          <w:p>
            <w:pPr>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6607" w:type="dxa"/>
            <w:gridSpan w:val="2"/>
          </w:tcPr>
          <w:p>
            <w:pPr>
              <w:pStyle w:val="16"/>
              <w:spacing w:before="30"/>
              <w:ind w:left="3"/>
              <w:jc w:val="center"/>
              <w:rPr>
                <w:sz w:val="20"/>
                <w:szCs w:val="20"/>
                <w:highlight w:val="none"/>
              </w:rPr>
            </w:pPr>
            <w:r>
              <w:rPr>
                <w:sz w:val="20"/>
                <w:szCs w:val="20"/>
                <w:highlight w:val="none"/>
              </w:rPr>
              <w:t>合计</w:t>
            </w:r>
          </w:p>
        </w:tc>
        <w:tc>
          <w:tcPr>
            <w:tcW w:w="7355" w:type="dxa"/>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lang w:val="zh-CN" w:eastAsia="zh-CN" w:bidi="zh-CN"/>
              </w:rPr>
            </w:pPr>
            <w:r>
              <w:rPr>
                <w:rFonts w:hint="eastAsia" w:ascii="宋体" w:hAnsi="宋体" w:eastAsia="宋体" w:cs="宋体"/>
                <w:i w:val="0"/>
                <w:color w:val="000000"/>
                <w:kern w:val="0"/>
                <w:sz w:val="20"/>
                <w:szCs w:val="20"/>
                <w:highlight w:val="none"/>
                <w:u w:val="none"/>
                <w:lang w:val="en-US" w:eastAsia="zh-CN" w:bidi="ar"/>
              </w:rPr>
              <w:t>1,088.67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516" w:type="dxa"/>
            <w:vAlign w:val="center"/>
          </w:tcPr>
          <w:p>
            <w:pPr>
              <w:keepNext w:val="0"/>
              <w:keepLines w:val="0"/>
              <w:widowControl/>
              <w:suppressLineNumbers w:val="0"/>
              <w:jc w:val="left"/>
              <w:textAlignment w:val="center"/>
              <w:rPr>
                <w:rFonts w:ascii="Times New Roman"/>
                <w:sz w:val="20"/>
                <w:szCs w:val="20"/>
                <w:highlight w:val="none"/>
              </w:rPr>
            </w:pPr>
            <w:r>
              <w:rPr>
                <w:rFonts w:hint="eastAsia" w:ascii="宋体" w:hAnsi="宋体" w:eastAsia="宋体" w:cs="宋体"/>
                <w:b/>
                <w:i w:val="0"/>
                <w:color w:val="000000"/>
                <w:kern w:val="0"/>
                <w:sz w:val="20"/>
                <w:szCs w:val="20"/>
                <w:highlight w:val="none"/>
                <w:u w:val="none"/>
                <w:lang w:val="en-US" w:eastAsia="zh-CN" w:bidi="ar"/>
              </w:rPr>
              <w:t>302</w:t>
            </w:r>
          </w:p>
        </w:tc>
        <w:tc>
          <w:tcPr>
            <w:tcW w:w="4091"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b/>
                <w:i w:val="0"/>
                <w:color w:val="000000"/>
                <w:kern w:val="0"/>
                <w:sz w:val="20"/>
                <w:szCs w:val="20"/>
                <w:highlight w:val="none"/>
                <w:u w:val="none"/>
                <w:lang w:val="en-US" w:eastAsia="zh-CN" w:bidi="ar"/>
              </w:rPr>
              <w:t>商品和服务支出</w:t>
            </w:r>
          </w:p>
        </w:tc>
        <w:tc>
          <w:tcPr>
            <w:tcW w:w="735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813.56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30201</w:t>
            </w:r>
          </w:p>
        </w:tc>
        <w:tc>
          <w:tcPr>
            <w:tcW w:w="4091"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办公费</w:t>
            </w:r>
          </w:p>
        </w:tc>
        <w:tc>
          <w:tcPr>
            <w:tcW w:w="735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152.05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30202</w:t>
            </w:r>
          </w:p>
        </w:tc>
        <w:tc>
          <w:tcPr>
            <w:tcW w:w="4091"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印刷费</w:t>
            </w:r>
          </w:p>
        </w:tc>
        <w:tc>
          <w:tcPr>
            <w:tcW w:w="735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3.45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516" w:type="dxa"/>
            <w:vAlign w:val="center"/>
          </w:tcPr>
          <w:p>
            <w:pPr>
              <w:keepNext w:val="0"/>
              <w:keepLines w:val="0"/>
              <w:widowControl/>
              <w:suppressLineNumbers w:val="0"/>
              <w:jc w:val="center"/>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30203</w:t>
            </w:r>
          </w:p>
        </w:tc>
        <w:tc>
          <w:tcPr>
            <w:tcW w:w="4091"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咨询费</w:t>
            </w:r>
          </w:p>
        </w:tc>
        <w:tc>
          <w:tcPr>
            <w:tcW w:w="735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30204</w:t>
            </w:r>
          </w:p>
        </w:tc>
        <w:tc>
          <w:tcPr>
            <w:tcW w:w="4091"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手续费</w:t>
            </w:r>
          </w:p>
        </w:tc>
        <w:tc>
          <w:tcPr>
            <w:tcW w:w="735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30205</w:t>
            </w:r>
          </w:p>
        </w:tc>
        <w:tc>
          <w:tcPr>
            <w:tcW w:w="4091"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水费</w:t>
            </w:r>
          </w:p>
        </w:tc>
        <w:tc>
          <w:tcPr>
            <w:tcW w:w="735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1.73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rFonts w:asci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30206</w:t>
            </w:r>
          </w:p>
        </w:tc>
        <w:tc>
          <w:tcPr>
            <w:tcW w:w="4091"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电费</w:t>
            </w:r>
          </w:p>
        </w:tc>
        <w:tc>
          <w:tcPr>
            <w:tcW w:w="735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26.67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rFonts w:ascii="Times New Roman" w:hAns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30207</w:t>
            </w:r>
          </w:p>
        </w:tc>
        <w:tc>
          <w:tcPr>
            <w:tcW w:w="4091" w:type="dxa"/>
            <w:vAlign w:val="center"/>
          </w:tcPr>
          <w:p>
            <w:pPr>
              <w:keepNext w:val="0"/>
              <w:keepLines w:val="0"/>
              <w:widowControl/>
              <w:suppressLineNumbers w:val="0"/>
              <w:jc w:val="left"/>
              <w:textAlignment w:val="center"/>
              <w:rPr>
                <w:rFonts w:ascii="Times New Roman" w:hAnsi="Times New Roman"/>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邮电费</w:t>
            </w:r>
          </w:p>
        </w:tc>
        <w:tc>
          <w:tcPr>
            <w:tcW w:w="735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46.87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30208</w:t>
            </w:r>
          </w:p>
        </w:tc>
        <w:tc>
          <w:tcPr>
            <w:tcW w:w="4091" w:type="dxa"/>
            <w:vAlign w:val="center"/>
          </w:tcPr>
          <w:p>
            <w:pPr>
              <w:keepNext w:val="0"/>
              <w:keepLines w:val="0"/>
              <w:widowControl/>
              <w:suppressLineNumbers w:val="0"/>
              <w:jc w:val="lef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取暖费</w:t>
            </w:r>
          </w:p>
        </w:tc>
        <w:tc>
          <w:tcPr>
            <w:tcW w:w="735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30209</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物业管理费</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17.25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30211</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差旅费</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30212</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因公出国（境）费用</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30213</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维修（护）费</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119.35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30214</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租赁费</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30215</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会议费</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30216</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培训费</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30217</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公务接待费</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30218</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专用材料费</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30224</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被装购置费</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30225</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专用燃料费</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30226</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劳务费</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189.83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30227</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委托业务费</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30228</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工会经费</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40.20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30229</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福利费</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30231</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公务用车运行维护费</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24.53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30239</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其他交通费用</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30240</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税金及附加费用</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30299</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其他商品和服务支出</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113.87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307</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债务利息及费用支出</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310</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资本性支出</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275.11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31001</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房屋建筑物购建</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31002</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办公设备购置</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16.67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31003</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专用设备购置</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154.11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31005</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基础设施建设</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31006</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大型修缮</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31007</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信息网络及软件购置更新</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82.68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31008</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物资储备</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31009</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土地补偿</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31010</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安置补助</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31011</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地上附着物和青苗补偿</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31012</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拆迁补偿</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31013</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公务用车购置</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21.64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31019</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其他交通工具购置</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31021</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文物和陈列品购置</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31022</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无形资产购置</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center"/>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31099</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其他资本性支出</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312</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对企业补助</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516"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399</w:t>
            </w:r>
          </w:p>
        </w:tc>
        <w:tc>
          <w:tcPr>
            <w:tcW w:w="4091" w:type="dxa"/>
            <w:vAlign w:val="center"/>
          </w:tcPr>
          <w:p>
            <w:pPr>
              <w:keepNext w:val="0"/>
              <w:keepLines w:val="0"/>
              <w:widowControl/>
              <w:suppressLineNumbers w:val="0"/>
              <w:jc w:val="left"/>
              <w:textAlignment w:val="center"/>
              <w:rPr>
                <w:w w:val="99"/>
                <w:sz w:val="20"/>
                <w:szCs w:val="20"/>
                <w:highlight w:val="none"/>
              </w:rPr>
            </w:pPr>
            <w:r>
              <w:rPr>
                <w:rFonts w:hint="eastAsia" w:ascii="宋体" w:hAnsi="宋体" w:eastAsia="宋体" w:cs="宋体"/>
                <w:b/>
                <w:i w:val="0"/>
                <w:color w:val="000000"/>
                <w:kern w:val="0"/>
                <w:sz w:val="20"/>
                <w:szCs w:val="20"/>
                <w:highlight w:val="none"/>
                <w:u w:val="none"/>
                <w:lang w:val="en-US" w:eastAsia="zh-CN" w:bidi="ar"/>
              </w:rPr>
              <w:t>其他支出</w:t>
            </w:r>
          </w:p>
        </w:tc>
        <w:tc>
          <w:tcPr>
            <w:tcW w:w="7355" w:type="dxa"/>
            <w:vAlign w:val="center"/>
          </w:tcPr>
          <w:p>
            <w:pPr>
              <w:keepNext w:val="0"/>
              <w:keepLines w:val="0"/>
              <w:widowControl/>
              <w:suppressLineNumbers w:val="0"/>
              <w:jc w:val="right"/>
              <w:textAlignment w:val="center"/>
              <w:rPr>
                <w:w w:val="99"/>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bl>
    <w:p>
      <w:pPr>
        <w:spacing w:before="78" w:line="292" w:lineRule="auto"/>
        <w:ind w:left="228" w:right="283"/>
        <w:rPr>
          <w:sz w:val="20"/>
          <w:highlight w:val="none"/>
        </w:rPr>
      </w:pPr>
      <w:r>
        <w:rPr>
          <w:sz w:val="20"/>
          <w:highlight w:val="none"/>
        </w:rPr>
        <w:t>注：</w:t>
      </w:r>
      <w:r>
        <w:rPr>
          <w:rFonts w:ascii="Times New Roman" w:hAnsi="Times New Roman" w:eastAsia="Times New Roman"/>
          <w:sz w:val="20"/>
          <w:highlight w:val="none"/>
        </w:rPr>
        <w:t>1.“</w:t>
      </w:r>
      <w:r>
        <w:rPr>
          <w:sz w:val="20"/>
          <w:highlight w:val="none"/>
        </w:rPr>
        <w:t>机关运行经费</w:t>
      </w:r>
      <w:r>
        <w:rPr>
          <w:rFonts w:ascii="Times New Roman" w:hAnsi="Times New Roman" w:eastAsia="Times New Roman"/>
          <w:sz w:val="20"/>
          <w:highlight w:val="none"/>
        </w:rPr>
        <w:t xml:space="preserve">” </w:t>
      </w:r>
      <w:r>
        <w:rPr>
          <w:sz w:val="20"/>
          <w:highlight w:val="none"/>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pPr>
        <w:pStyle w:val="15"/>
        <w:numPr>
          <w:ilvl w:val="1"/>
          <w:numId w:val="1"/>
        </w:numPr>
        <w:tabs>
          <w:tab w:val="left" w:pos="683"/>
        </w:tabs>
        <w:spacing w:line="255" w:lineRule="exact"/>
        <w:ind w:hanging="153"/>
        <w:rPr>
          <w:sz w:val="20"/>
          <w:highlight w:val="none"/>
        </w:rPr>
      </w:pPr>
      <w:r>
        <w:rPr>
          <w:rFonts w:ascii="Times New Roman" w:hAnsi="Times New Roman" w:eastAsia="Times New Roman"/>
          <w:sz w:val="20"/>
          <w:highlight w:val="none"/>
        </w:rPr>
        <w:t>“</w:t>
      </w:r>
      <w:r>
        <w:rPr>
          <w:sz w:val="20"/>
          <w:highlight w:val="none"/>
        </w:rPr>
        <w:t>科目编码</w:t>
      </w:r>
      <w:r>
        <w:rPr>
          <w:rFonts w:ascii="Times New Roman" w:hAnsi="Times New Roman" w:eastAsia="Times New Roman"/>
          <w:sz w:val="20"/>
          <w:highlight w:val="none"/>
        </w:rPr>
        <w:t>”</w:t>
      </w:r>
      <w:r>
        <w:rPr>
          <w:sz w:val="20"/>
          <w:highlight w:val="none"/>
        </w:rPr>
        <w:t>和</w:t>
      </w:r>
      <w:r>
        <w:rPr>
          <w:rFonts w:ascii="Times New Roman" w:hAnsi="Times New Roman" w:eastAsia="Times New Roman"/>
          <w:sz w:val="20"/>
          <w:highlight w:val="none"/>
        </w:rPr>
        <w:t>“</w:t>
      </w:r>
      <w:r>
        <w:rPr>
          <w:sz w:val="20"/>
          <w:highlight w:val="none"/>
        </w:rPr>
        <w:t>科目名称</w:t>
      </w:r>
      <w:r>
        <w:rPr>
          <w:rFonts w:ascii="Times New Roman" w:hAnsi="Times New Roman" w:eastAsia="Times New Roman"/>
          <w:sz w:val="20"/>
          <w:highlight w:val="none"/>
        </w:rPr>
        <w:t>”</w:t>
      </w:r>
      <w:r>
        <w:rPr>
          <w:sz w:val="20"/>
          <w:highlight w:val="none"/>
        </w:rPr>
        <w:t>均为必填项。</w:t>
      </w:r>
    </w:p>
    <w:p>
      <w:pPr>
        <w:spacing w:line="255" w:lineRule="exact"/>
        <w:rPr>
          <w:sz w:val="20"/>
          <w:highlight w:val="none"/>
        </w:rPr>
        <w:sectPr>
          <w:pgSz w:w="16840" w:h="11910" w:orient="landscape"/>
          <w:pgMar w:top="1100" w:right="1320" w:bottom="280" w:left="1320" w:header="720" w:footer="720" w:gutter="0"/>
          <w:cols w:space="720" w:num="1"/>
        </w:sectPr>
      </w:pPr>
    </w:p>
    <w:p>
      <w:pPr>
        <w:pStyle w:val="2"/>
        <w:rPr>
          <w:sz w:val="20"/>
          <w:highlight w:val="none"/>
        </w:rPr>
      </w:pPr>
    </w:p>
    <w:p>
      <w:pPr>
        <w:pStyle w:val="2"/>
        <w:rPr>
          <w:sz w:val="20"/>
          <w:highlight w:val="none"/>
        </w:rPr>
      </w:pPr>
    </w:p>
    <w:p>
      <w:pPr>
        <w:pStyle w:val="2"/>
        <w:spacing w:before="8"/>
        <w:rPr>
          <w:sz w:val="24"/>
          <w:highlight w:val="none"/>
        </w:rPr>
      </w:pPr>
    </w:p>
    <w:p>
      <w:pPr>
        <w:pStyle w:val="12"/>
        <w:spacing w:before="51"/>
        <w:rPr>
          <w:highlight w:val="none"/>
        </w:rPr>
      </w:pPr>
      <w:r>
        <w:rPr>
          <w:highlight w:val="none"/>
        </w:rPr>
        <w:t>政府采购支出决算表</w:t>
      </w:r>
    </w:p>
    <w:p>
      <w:pPr>
        <w:pStyle w:val="2"/>
        <w:spacing w:before="10"/>
        <w:rPr>
          <w:sz w:val="26"/>
          <w:highlight w:val="none"/>
        </w:rPr>
      </w:pPr>
    </w:p>
    <w:p>
      <w:pPr>
        <w:spacing w:before="78"/>
        <w:ind w:right="1776"/>
        <w:jc w:val="right"/>
        <w:rPr>
          <w:sz w:val="20"/>
          <w:highlight w:val="none"/>
        </w:rPr>
      </w:pPr>
      <w:r>
        <w:rPr>
          <w:spacing w:val="-17"/>
          <w:sz w:val="20"/>
          <w:highlight w:val="none"/>
        </w:rPr>
        <w:t xml:space="preserve">公开 </w:t>
      </w:r>
      <w:r>
        <w:rPr>
          <w:rFonts w:ascii="Times New Roman" w:eastAsia="Times New Roman"/>
          <w:sz w:val="20"/>
          <w:highlight w:val="none"/>
        </w:rPr>
        <w:t xml:space="preserve">12 </w:t>
      </w:r>
      <w:r>
        <w:rPr>
          <w:sz w:val="20"/>
          <w:highlight w:val="none"/>
        </w:rPr>
        <w:t>表</w:t>
      </w:r>
    </w:p>
    <w:p>
      <w:pPr>
        <w:pStyle w:val="2"/>
        <w:spacing w:before="6"/>
        <w:rPr>
          <w:sz w:val="16"/>
          <w:highlight w:val="none"/>
        </w:rPr>
      </w:pPr>
    </w:p>
    <w:p>
      <w:pPr>
        <w:tabs>
          <w:tab w:val="left" w:pos="9639"/>
        </w:tabs>
        <w:spacing w:after="31"/>
        <w:ind w:right="1780"/>
        <w:jc w:val="right"/>
        <w:rPr>
          <w:sz w:val="20"/>
          <w:highlight w:val="none"/>
        </w:rPr>
      </w:pPr>
      <w:r>
        <w:rPr>
          <w:sz w:val="20"/>
          <w:highlight w:val="none"/>
        </w:rPr>
        <w:t>部门名称：</w:t>
      </w:r>
      <w:r>
        <w:rPr>
          <w:rFonts w:hint="eastAsia" w:ascii="Times New Roman"/>
          <w:sz w:val="20"/>
          <w:highlight w:val="none"/>
          <w:lang w:eastAsia="zh-CN"/>
        </w:rPr>
        <w:t>连云港市海州区人民检察院</w:t>
      </w:r>
      <w:r>
        <w:rPr>
          <w:rFonts w:ascii="Times New Roman" w:eastAsia="Times New Roman"/>
          <w:sz w:val="20"/>
          <w:highlight w:val="none"/>
        </w:rPr>
        <w:tab/>
      </w:r>
      <w:r>
        <w:rPr>
          <w:w w:val="95"/>
          <w:sz w:val="20"/>
          <w:highlight w:val="none"/>
        </w:rPr>
        <w:t>单位：万元</w:t>
      </w:r>
    </w:p>
    <w:tbl>
      <w:tblPr>
        <w:tblStyle w:val="8"/>
        <w:tblW w:w="0" w:type="auto"/>
        <w:tblInd w:w="16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12"/>
        <w:gridCol w:w="6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4112" w:type="dxa"/>
          </w:tcPr>
          <w:p>
            <w:pPr>
              <w:pStyle w:val="16"/>
              <w:spacing w:before="35"/>
              <w:ind w:left="1432" w:right="1429"/>
              <w:jc w:val="center"/>
              <w:rPr>
                <w:sz w:val="20"/>
                <w:szCs w:val="20"/>
                <w:highlight w:val="none"/>
              </w:rPr>
            </w:pPr>
            <w:r>
              <w:rPr>
                <w:sz w:val="20"/>
                <w:szCs w:val="20"/>
                <w:highlight w:val="none"/>
              </w:rPr>
              <w:t>采购品目大类</w:t>
            </w:r>
          </w:p>
        </w:tc>
        <w:tc>
          <w:tcPr>
            <w:tcW w:w="6745" w:type="dxa"/>
          </w:tcPr>
          <w:p>
            <w:pPr>
              <w:pStyle w:val="16"/>
              <w:tabs>
                <w:tab w:val="left" w:pos="611"/>
              </w:tabs>
              <w:spacing w:before="35"/>
              <w:ind w:left="9"/>
              <w:jc w:val="center"/>
              <w:rPr>
                <w:sz w:val="20"/>
                <w:szCs w:val="20"/>
                <w:highlight w:val="none"/>
              </w:rPr>
            </w:pPr>
            <w:r>
              <w:rPr>
                <w:sz w:val="20"/>
                <w:szCs w:val="20"/>
                <w:highlight w:val="none"/>
              </w:rPr>
              <w:t>金</w:t>
            </w:r>
            <w:r>
              <w:rPr>
                <w:sz w:val="20"/>
                <w:szCs w:val="20"/>
                <w:highlight w:val="none"/>
              </w:rPr>
              <w:tab/>
            </w:r>
            <w:r>
              <w:rPr>
                <w:sz w:val="20"/>
                <w:szCs w:val="20"/>
                <w:highlight w:val="none"/>
              </w:rPr>
              <w:t>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4112" w:type="dxa"/>
          </w:tcPr>
          <w:p>
            <w:pPr>
              <w:pStyle w:val="16"/>
              <w:spacing w:before="35"/>
              <w:ind w:left="1432" w:right="1426"/>
              <w:jc w:val="center"/>
              <w:rPr>
                <w:sz w:val="20"/>
                <w:szCs w:val="20"/>
                <w:highlight w:val="none"/>
              </w:rPr>
            </w:pPr>
            <w:r>
              <w:rPr>
                <w:sz w:val="20"/>
                <w:szCs w:val="20"/>
                <w:highlight w:val="none"/>
              </w:rPr>
              <w:t>合计</w:t>
            </w:r>
          </w:p>
        </w:tc>
        <w:tc>
          <w:tcPr>
            <w:tcW w:w="674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275.11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112" w:type="dxa"/>
          </w:tcPr>
          <w:p>
            <w:pPr>
              <w:pStyle w:val="16"/>
              <w:spacing w:before="35"/>
              <w:ind w:left="107"/>
              <w:rPr>
                <w:sz w:val="20"/>
                <w:szCs w:val="20"/>
                <w:highlight w:val="none"/>
              </w:rPr>
            </w:pPr>
            <w:r>
              <w:rPr>
                <w:sz w:val="20"/>
                <w:szCs w:val="20"/>
                <w:highlight w:val="none"/>
              </w:rPr>
              <w:t>一、政府采购货物支出</w:t>
            </w:r>
          </w:p>
        </w:tc>
        <w:tc>
          <w:tcPr>
            <w:tcW w:w="674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275.11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4112" w:type="dxa"/>
          </w:tcPr>
          <w:p>
            <w:pPr>
              <w:pStyle w:val="16"/>
              <w:spacing w:before="37"/>
              <w:ind w:left="107"/>
              <w:rPr>
                <w:sz w:val="20"/>
                <w:szCs w:val="20"/>
                <w:highlight w:val="none"/>
              </w:rPr>
            </w:pPr>
            <w:r>
              <w:rPr>
                <w:sz w:val="20"/>
                <w:szCs w:val="20"/>
                <w:highlight w:val="none"/>
              </w:rPr>
              <w:t>二、政府采购工程支出</w:t>
            </w:r>
          </w:p>
        </w:tc>
        <w:tc>
          <w:tcPr>
            <w:tcW w:w="674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4112" w:type="dxa"/>
          </w:tcPr>
          <w:p>
            <w:pPr>
              <w:pStyle w:val="16"/>
              <w:spacing w:before="37"/>
              <w:ind w:left="107"/>
              <w:rPr>
                <w:sz w:val="20"/>
                <w:szCs w:val="20"/>
                <w:highlight w:val="none"/>
              </w:rPr>
            </w:pPr>
            <w:r>
              <w:rPr>
                <w:sz w:val="20"/>
                <w:szCs w:val="20"/>
                <w:highlight w:val="none"/>
              </w:rPr>
              <w:t>三、政府采购服务支出</w:t>
            </w:r>
          </w:p>
        </w:tc>
        <w:tc>
          <w:tcPr>
            <w:tcW w:w="6745" w:type="dxa"/>
            <w:vAlign w:val="center"/>
          </w:tcPr>
          <w:p>
            <w:pPr>
              <w:keepNext w:val="0"/>
              <w:keepLines w:val="0"/>
              <w:widowControl/>
              <w:suppressLineNumbers w:val="0"/>
              <w:jc w:val="right"/>
              <w:textAlignment w:val="center"/>
              <w:rPr>
                <w:sz w:val="20"/>
                <w:szCs w:val="20"/>
                <w:highlight w:val="none"/>
              </w:rPr>
            </w:pPr>
            <w:r>
              <w:rPr>
                <w:rFonts w:hint="eastAsia" w:ascii="宋体" w:hAnsi="宋体" w:eastAsia="宋体" w:cs="宋体"/>
                <w:i w:val="0"/>
                <w:color w:val="000000"/>
                <w:kern w:val="0"/>
                <w:sz w:val="20"/>
                <w:szCs w:val="20"/>
                <w:highlight w:val="none"/>
                <w:u w:val="none"/>
                <w:lang w:val="en-US" w:eastAsia="zh-CN" w:bidi="ar"/>
              </w:rPr>
              <w:t>0.00</w:t>
            </w:r>
          </w:p>
        </w:tc>
      </w:tr>
    </w:tbl>
    <w:p>
      <w:pPr>
        <w:spacing w:before="25"/>
        <w:ind w:left="1778"/>
        <w:rPr>
          <w:sz w:val="20"/>
          <w:highlight w:val="none"/>
        </w:rPr>
      </w:pPr>
      <w:r>
        <w:rPr>
          <w:sz w:val="20"/>
          <w:highlight w:val="none"/>
        </w:rPr>
        <w:t>注：政府采购支出信息为单位纳入部门预算范围的各项政府采购支出情况。</w:t>
      </w:r>
    </w:p>
    <w:p>
      <w:pPr>
        <w:rPr>
          <w:sz w:val="20"/>
          <w:highlight w:val="none"/>
        </w:rPr>
        <w:sectPr>
          <w:pgSz w:w="16840" w:h="11910" w:orient="landscape"/>
          <w:pgMar w:top="1100" w:right="1320" w:bottom="280" w:left="1320" w:header="720" w:footer="720" w:gutter="0"/>
          <w:cols w:space="720" w:num="1"/>
        </w:sectPr>
      </w:pPr>
    </w:p>
    <w:p>
      <w:pPr>
        <w:pStyle w:val="2"/>
        <w:rPr>
          <w:sz w:val="11"/>
          <w:highlight w:val="none"/>
        </w:rPr>
      </w:pPr>
    </w:p>
    <w:p>
      <w:pPr>
        <w:pStyle w:val="12"/>
        <w:tabs>
          <w:tab w:val="left" w:pos="1802"/>
        </w:tabs>
        <w:spacing w:before="61"/>
        <w:ind w:right="319"/>
        <w:rPr>
          <w:highlight w:val="none"/>
        </w:rPr>
      </w:pPr>
      <w:r>
        <w:rPr>
          <w:highlight w:val="none"/>
        </w:rPr>
        <w:t>第三部分</w:t>
      </w:r>
      <w:r>
        <w:rPr>
          <w:highlight w:val="none"/>
        </w:rPr>
        <w:tab/>
      </w:r>
      <w:r>
        <w:rPr>
          <w:rFonts w:ascii="Times New Roman" w:eastAsia="Times New Roman"/>
          <w:highlight w:val="none"/>
        </w:rPr>
        <w:t>2020</w:t>
      </w:r>
      <w:r>
        <w:rPr>
          <w:highlight w:val="none"/>
        </w:rPr>
        <w:t>年度决算情况说明</w:t>
      </w:r>
    </w:p>
    <w:p>
      <w:pPr>
        <w:pStyle w:val="2"/>
        <w:spacing w:before="1"/>
        <w:rPr>
          <w:highlight w:val="none"/>
        </w:rPr>
      </w:pPr>
    </w:p>
    <w:p>
      <w:pPr>
        <w:pStyle w:val="2"/>
        <w:keepNext w:val="0"/>
        <w:keepLines w:val="0"/>
        <w:pageBreakBefore w:val="0"/>
        <w:widowControl w:val="0"/>
        <w:kinsoku/>
        <w:wordWrap/>
        <w:overflowPunct/>
        <w:topLinePunct w:val="0"/>
        <w:autoSpaceDE w:val="0"/>
        <w:autoSpaceDN w:val="0"/>
        <w:bidi w:val="0"/>
        <w:adjustRightInd w:val="0"/>
        <w:snapToGrid w:val="0"/>
        <w:spacing w:line="322" w:lineRule="auto"/>
        <w:ind w:left="24" w:leftChars="11" w:firstLine="358" w:firstLineChars="112"/>
        <w:jc w:val="left"/>
        <w:textAlignment w:val="auto"/>
        <w:rPr>
          <w:highlight w:val="none"/>
        </w:rPr>
      </w:pPr>
      <w:r>
        <w:rPr>
          <w:highlight w:val="none"/>
        </w:rPr>
        <w:t>一、收入支出决算总体情况说明</w:t>
      </w:r>
    </w:p>
    <w:p>
      <w:pPr>
        <w:pStyle w:val="2"/>
        <w:keepNext w:val="0"/>
        <w:keepLines w:val="0"/>
        <w:pageBreakBefore w:val="0"/>
        <w:widowControl w:val="0"/>
        <w:kinsoku/>
        <w:wordWrap/>
        <w:overflowPunct/>
        <w:topLinePunct w:val="0"/>
        <w:autoSpaceDE w:val="0"/>
        <w:autoSpaceDN w:val="0"/>
        <w:bidi w:val="0"/>
        <w:adjustRightInd w:val="0"/>
        <w:snapToGrid w:val="0"/>
        <w:spacing w:before="140" w:line="322" w:lineRule="auto"/>
        <w:ind w:left="24" w:leftChars="11" w:right="434" w:firstLine="358" w:firstLineChars="112"/>
        <w:jc w:val="left"/>
        <w:textAlignment w:val="auto"/>
        <w:rPr>
          <w:highlight w:val="none"/>
        </w:rPr>
      </w:pPr>
      <w:r>
        <w:rPr>
          <w:rFonts w:hint="eastAsia" w:ascii="Times New Roman"/>
          <w:highlight w:val="none"/>
          <w:u w:val="single"/>
          <w:lang w:eastAsia="zh-CN"/>
        </w:rPr>
        <w:t>连云港市海州区人民检察院</w:t>
      </w:r>
      <w:r>
        <w:rPr>
          <w:rFonts w:ascii="Times New Roman" w:eastAsia="Times New Roman"/>
          <w:highlight w:val="none"/>
        </w:rPr>
        <w:t>2020</w:t>
      </w:r>
      <w:r>
        <w:rPr>
          <w:spacing w:val="-10"/>
          <w:highlight w:val="none"/>
        </w:rPr>
        <w:t>年度收入、支出总计</w:t>
      </w:r>
      <w:r>
        <w:rPr>
          <w:rFonts w:hint="eastAsia"/>
          <w:spacing w:val="73"/>
          <w:highlight w:val="none"/>
          <w:u w:val="single"/>
          <w:lang w:val="en-US" w:eastAsia="zh-CN"/>
        </w:rPr>
        <w:t>4898.32</w:t>
      </w:r>
      <w:r>
        <w:rPr>
          <w:spacing w:val="-11"/>
          <w:highlight w:val="none"/>
        </w:rPr>
        <w:t>万元，与上年相比</w:t>
      </w:r>
      <w:r>
        <w:rPr>
          <w:spacing w:val="-14"/>
          <w:highlight w:val="none"/>
        </w:rPr>
        <w:t>收、支总计各增加</w:t>
      </w:r>
      <w:r>
        <w:rPr>
          <w:rFonts w:hint="eastAsia"/>
          <w:spacing w:val="-14"/>
          <w:highlight w:val="none"/>
          <w:u w:val="single"/>
          <w:lang w:val="en-US" w:eastAsia="zh-CN"/>
        </w:rPr>
        <w:t>252.3</w:t>
      </w:r>
      <w:r>
        <w:rPr>
          <w:spacing w:val="-19"/>
          <w:highlight w:val="none"/>
        </w:rPr>
        <w:t>万元，增长</w:t>
      </w:r>
      <w:r>
        <w:rPr>
          <w:rFonts w:hint="eastAsia"/>
          <w:spacing w:val="35"/>
          <w:highlight w:val="none"/>
          <w:u w:val="single"/>
          <w:lang w:val="en-US" w:eastAsia="zh-CN"/>
        </w:rPr>
        <w:t>5.43</w:t>
      </w:r>
      <w:r>
        <w:rPr>
          <w:rFonts w:ascii="Times New Roman" w:eastAsia="Times New Roman"/>
          <w:highlight w:val="none"/>
        </w:rPr>
        <w:t>%</w:t>
      </w:r>
      <w:r>
        <w:rPr>
          <w:highlight w:val="none"/>
        </w:rPr>
        <w:t>。其中：</w:t>
      </w:r>
    </w:p>
    <w:p>
      <w:pPr>
        <w:pStyle w:val="14"/>
        <w:keepNext w:val="0"/>
        <w:keepLines w:val="0"/>
        <w:pageBreakBefore w:val="0"/>
        <w:widowControl w:val="0"/>
        <w:tabs>
          <w:tab w:val="left" w:pos="3656"/>
        </w:tabs>
        <w:kinsoku/>
        <w:wordWrap/>
        <w:overflowPunct/>
        <w:topLinePunct w:val="0"/>
        <w:autoSpaceDE w:val="0"/>
        <w:autoSpaceDN w:val="0"/>
        <w:bidi w:val="0"/>
        <w:adjustRightInd w:val="0"/>
        <w:snapToGrid w:val="0"/>
        <w:spacing w:line="322" w:lineRule="auto"/>
        <w:ind w:left="24" w:leftChars="11" w:firstLine="359" w:firstLineChars="112"/>
        <w:jc w:val="left"/>
        <w:textAlignment w:val="auto"/>
        <w:rPr>
          <w:highlight w:val="none"/>
        </w:rPr>
      </w:pPr>
      <w:r>
        <w:rPr>
          <w:highlight w:val="none"/>
        </w:rPr>
        <w:t>（一）收入总</w:t>
      </w:r>
      <w:r>
        <w:rPr>
          <w:spacing w:val="3"/>
          <w:highlight w:val="none"/>
        </w:rPr>
        <w:t>计</w:t>
      </w:r>
      <w:r>
        <w:rPr>
          <w:rFonts w:hint="eastAsia" w:eastAsia="宋体"/>
          <w:spacing w:val="3"/>
          <w:highlight w:val="none"/>
          <w:u w:val="thick"/>
          <w:lang w:val="en-US" w:eastAsia="zh-CN"/>
        </w:rPr>
        <w:t>4898.32</w:t>
      </w:r>
      <w:r>
        <w:rPr>
          <w:highlight w:val="none"/>
        </w:rPr>
        <w:t>万元。包括：</w:t>
      </w:r>
    </w:p>
    <w:p>
      <w:pPr>
        <w:pStyle w:val="15"/>
        <w:keepNext w:val="0"/>
        <w:keepLines w:val="0"/>
        <w:pageBreakBefore w:val="0"/>
        <w:widowControl w:val="0"/>
        <w:numPr>
          <w:ilvl w:val="0"/>
          <w:numId w:val="0"/>
        </w:numPr>
        <w:tabs>
          <w:tab w:val="left" w:pos="1243"/>
          <w:tab w:val="left" w:pos="3636"/>
          <w:tab w:val="left" w:pos="5953"/>
        </w:tabs>
        <w:kinsoku/>
        <w:wordWrap/>
        <w:overflowPunct/>
        <w:topLinePunct w:val="0"/>
        <w:autoSpaceDE w:val="0"/>
        <w:autoSpaceDN w:val="0"/>
        <w:bidi w:val="0"/>
        <w:adjustRightInd w:val="0"/>
        <w:snapToGrid w:val="0"/>
        <w:spacing w:before="13" w:line="322" w:lineRule="auto"/>
        <w:ind w:left="24" w:leftChars="11" w:right="284" w:rightChars="0" w:firstLine="358" w:firstLineChars="112"/>
        <w:jc w:val="left"/>
        <w:textAlignment w:val="auto"/>
        <w:rPr>
          <w:sz w:val="32"/>
          <w:highlight w:val="none"/>
        </w:rPr>
      </w:pPr>
      <w:r>
        <w:rPr>
          <w:rFonts w:hint="eastAsia"/>
          <w:sz w:val="32"/>
          <w:highlight w:val="none"/>
          <w:lang w:val="en-US" w:eastAsia="zh-CN"/>
        </w:rPr>
        <w:t>1.</w:t>
      </w:r>
      <w:r>
        <w:rPr>
          <w:sz w:val="32"/>
          <w:highlight w:val="none"/>
        </w:rPr>
        <w:t>一般公共预算财政拨款收</w:t>
      </w:r>
      <w:r>
        <w:rPr>
          <w:spacing w:val="3"/>
          <w:sz w:val="32"/>
          <w:highlight w:val="none"/>
        </w:rPr>
        <w:t>入</w:t>
      </w:r>
      <w:r>
        <w:rPr>
          <w:rFonts w:hint="eastAsia"/>
          <w:spacing w:val="3"/>
          <w:sz w:val="32"/>
          <w:highlight w:val="none"/>
          <w:u w:val="single"/>
          <w:lang w:val="en-US" w:eastAsia="zh-CN"/>
        </w:rPr>
        <w:t>4713.8</w:t>
      </w:r>
      <w:r>
        <w:rPr>
          <w:sz w:val="32"/>
          <w:highlight w:val="none"/>
        </w:rPr>
        <w:t>万元</w:t>
      </w:r>
      <w:r>
        <w:rPr>
          <w:spacing w:val="-87"/>
          <w:sz w:val="32"/>
          <w:highlight w:val="none"/>
        </w:rPr>
        <w:t>，</w:t>
      </w:r>
      <w:r>
        <w:rPr>
          <w:sz w:val="32"/>
          <w:highlight w:val="none"/>
        </w:rPr>
        <w:t>为当年</w:t>
      </w:r>
      <w:r>
        <w:rPr>
          <w:spacing w:val="3"/>
          <w:sz w:val="32"/>
          <w:highlight w:val="none"/>
        </w:rPr>
        <w:t>从</w:t>
      </w:r>
      <w:r>
        <w:rPr>
          <w:sz w:val="32"/>
          <w:highlight w:val="none"/>
        </w:rPr>
        <w:t>同</w:t>
      </w:r>
      <w:r>
        <w:rPr>
          <w:spacing w:val="7"/>
          <w:w w:val="95"/>
          <w:sz w:val="32"/>
          <w:highlight w:val="none"/>
        </w:rPr>
        <w:t>级财政取得</w:t>
      </w:r>
      <w:r>
        <w:rPr>
          <w:spacing w:val="4"/>
          <w:w w:val="95"/>
          <w:sz w:val="32"/>
          <w:highlight w:val="none"/>
        </w:rPr>
        <w:t>的一</w:t>
      </w:r>
      <w:r>
        <w:rPr>
          <w:spacing w:val="7"/>
          <w:w w:val="95"/>
          <w:sz w:val="32"/>
          <w:highlight w:val="none"/>
        </w:rPr>
        <w:t>般公共预算</w:t>
      </w:r>
      <w:r>
        <w:rPr>
          <w:spacing w:val="4"/>
          <w:w w:val="95"/>
          <w:sz w:val="32"/>
          <w:highlight w:val="none"/>
        </w:rPr>
        <w:t>拨款</w:t>
      </w:r>
      <w:r>
        <w:rPr>
          <w:spacing w:val="7"/>
          <w:w w:val="95"/>
          <w:sz w:val="32"/>
          <w:highlight w:val="none"/>
        </w:rPr>
        <w:t>，与上年相</w:t>
      </w:r>
      <w:r>
        <w:rPr>
          <w:spacing w:val="4"/>
          <w:w w:val="95"/>
          <w:sz w:val="32"/>
          <w:highlight w:val="none"/>
        </w:rPr>
        <w:t>比增</w:t>
      </w:r>
      <w:r>
        <w:rPr>
          <w:spacing w:val="7"/>
          <w:w w:val="95"/>
          <w:sz w:val="32"/>
          <w:highlight w:val="none"/>
        </w:rPr>
        <w:t>加</w:t>
      </w:r>
      <w:r>
        <w:rPr>
          <w:rFonts w:hint="eastAsia"/>
          <w:spacing w:val="7"/>
          <w:w w:val="95"/>
          <w:sz w:val="32"/>
          <w:highlight w:val="none"/>
          <w:u w:val="single"/>
          <w:lang w:val="en-US" w:eastAsia="zh-CN"/>
        </w:rPr>
        <w:t>943.42</w:t>
      </w:r>
      <w:r>
        <w:rPr>
          <w:spacing w:val="-14"/>
          <w:w w:val="95"/>
          <w:sz w:val="32"/>
          <w:highlight w:val="none"/>
          <w:u w:val="single"/>
        </w:rPr>
        <w:t xml:space="preserve"> </w:t>
      </w:r>
      <w:r>
        <w:rPr>
          <w:sz w:val="32"/>
          <w:highlight w:val="none"/>
        </w:rPr>
        <w:t>万元，增长</w:t>
      </w:r>
      <w:r>
        <w:rPr>
          <w:rFonts w:hint="eastAsia"/>
          <w:spacing w:val="3"/>
          <w:sz w:val="32"/>
          <w:highlight w:val="none"/>
          <w:u w:val="single"/>
          <w:lang w:val="en-US" w:eastAsia="zh-CN"/>
        </w:rPr>
        <w:t>25</w:t>
      </w:r>
      <w:r>
        <w:rPr>
          <w:rFonts w:ascii="Times New Roman" w:hAnsi="Times New Roman" w:eastAsia="Times New Roman"/>
          <w:sz w:val="32"/>
          <w:highlight w:val="none"/>
        </w:rPr>
        <w:t>%</w:t>
      </w:r>
      <w:r>
        <w:rPr>
          <w:sz w:val="32"/>
          <w:highlight w:val="none"/>
        </w:rPr>
        <w:t>。主要原因</w:t>
      </w:r>
      <w:r>
        <w:rPr>
          <w:spacing w:val="3"/>
          <w:sz w:val="32"/>
          <w:highlight w:val="none"/>
        </w:rPr>
        <w:t>是</w:t>
      </w:r>
      <w:r>
        <w:rPr>
          <w:sz w:val="32"/>
          <w:highlight w:val="none"/>
        </w:rPr>
        <w:t>人员工资</w:t>
      </w:r>
      <w:r>
        <w:rPr>
          <w:rFonts w:hint="eastAsia"/>
          <w:sz w:val="32"/>
          <w:highlight w:val="none"/>
          <w:lang w:val="en-US" w:eastAsia="zh-CN"/>
        </w:rPr>
        <w:t>增加</w:t>
      </w:r>
      <w:r>
        <w:rPr>
          <w:sz w:val="32"/>
          <w:highlight w:val="none"/>
        </w:rPr>
        <w:t>及工资基数相关的各项费用</w:t>
      </w:r>
      <w:r>
        <w:rPr>
          <w:rFonts w:hint="eastAsia"/>
          <w:sz w:val="32"/>
          <w:highlight w:val="none"/>
          <w:lang w:val="en-US" w:eastAsia="zh-CN"/>
        </w:rPr>
        <w:t>增加</w:t>
      </w:r>
      <w:r>
        <w:rPr>
          <w:sz w:val="32"/>
          <w:highlight w:val="none"/>
        </w:rPr>
        <w:t>。</w:t>
      </w:r>
    </w:p>
    <w:p>
      <w:pPr>
        <w:pStyle w:val="15"/>
        <w:keepNext w:val="0"/>
        <w:keepLines w:val="0"/>
        <w:pageBreakBefore w:val="0"/>
        <w:widowControl w:val="0"/>
        <w:numPr>
          <w:ilvl w:val="0"/>
          <w:numId w:val="0"/>
        </w:numPr>
        <w:tabs>
          <w:tab w:val="left" w:pos="1243"/>
          <w:tab w:val="left" w:pos="6272"/>
        </w:tabs>
        <w:kinsoku/>
        <w:wordWrap/>
        <w:overflowPunct/>
        <w:topLinePunct w:val="0"/>
        <w:autoSpaceDE w:val="0"/>
        <w:autoSpaceDN w:val="0"/>
        <w:bidi w:val="0"/>
        <w:adjustRightInd w:val="0"/>
        <w:snapToGrid w:val="0"/>
        <w:spacing w:line="322" w:lineRule="auto"/>
        <w:ind w:left="24" w:leftChars="11" w:right="434" w:rightChars="0" w:firstLine="358" w:firstLineChars="112"/>
        <w:jc w:val="left"/>
        <w:textAlignment w:val="auto"/>
        <w:rPr>
          <w:rFonts w:hint="eastAsia" w:eastAsia="宋体"/>
          <w:sz w:val="32"/>
          <w:highlight w:val="none"/>
          <w:lang w:eastAsia="zh-CN"/>
        </w:rPr>
      </w:pPr>
      <w:r>
        <w:rPr>
          <w:rFonts w:hint="eastAsia"/>
          <w:sz w:val="32"/>
          <w:highlight w:val="none"/>
          <w:lang w:val="en-US" w:eastAsia="zh-CN"/>
        </w:rPr>
        <w:t>2.</w:t>
      </w:r>
      <w:r>
        <w:rPr>
          <w:sz w:val="32"/>
          <w:highlight w:val="none"/>
        </w:rPr>
        <w:t>政府性基</w:t>
      </w:r>
      <w:r>
        <w:rPr>
          <w:spacing w:val="3"/>
          <w:sz w:val="32"/>
          <w:highlight w:val="none"/>
        </w:rPr>
        <w:t>金</w:t>
      </w:r>
      <w:r>
        <w:rPr>
          <w:sz w:val="32"/>
          <w:highlight w:val="none"/>
        </w:rPr>
        <w:t>预算财政拨款收</w:t>
      </w:r>
      <w:r>
        <w:rPr>
          <w:spacing w:val="3"/>
          <w:sz w:val="32"/>
          <w:highlight w:val="none"/>
        </w:rPr>
        <w:t>入</w:t>
      </w:r>
      <w:r>
        <w:rPr>
          <w:rFonts w:hint="eastAsia"/>
          <w:spacing w:val="3"/>
          <w:sz w:val="32"/>
          <w:highlight w:val="none"/>
          <w:u w:val="single"/>
          <w:lang w:val="en-US" w:eastAsia="zh-CN"/>
        </w:rPr>
        <w:t>0</w:t>
      </w:r>
      <w:r>
        <w:rPr>
          <w:sz w:val="32"/>
          <w:highlight w:val="none"/>
        </w:rPr>
        <w:t>万元</w:t>
      </w:r>
      <w:r>
        <w:rPr>
          <w:spacing w:val="-87"/>
          <w:sz w:val="32"/>
          <w:highlight w:val="none"/>
        </w:rPr>
        <w:t>，</w:t>
      </w:r>
      <w:r>
        <w:rPr>
          <w:sz w:val="32"/>
          <w:highlight w:val="none"/>
        </w:rPr>
        <w:t>为当年</w:t>
      </w:r>
      <w:r>
        <w:rPr>
          <w:spacing w:val="-15"/>
          <w:sz w:val="32"/>
          <w:highlight w:val="none"/>
        </w:rPr>
        <w:t>从</w:t>
      </w:r>
      <w:r>
        <w:rPr>
          <w:sz w:val="32"/>
          <w:highlight w:val="none"/>
        </w:rPr>
        <w:t>同级财政取得的政府性基金预算拨款。</w:t>
      </w:r>
      <w:r>
        <w:rPr>
          <w:spacing w:val="7"/>
          <w:w w:val="95"/>
          <w:sz w:val="32"/>
          <w:highlight w:val="none"/>
        </w:rPr>
        <w:t>与上年</w:t>
      </w:r>
      <w:r>
        <w:rPr>
          <w:rFonts w:hint="eastAsia"/>
          <w:spacing w:val="7"/>
          <w:w w:val="95"/>
          <w:sz w:val="32"/>
          <w:highlight w:val="none"/>
          <w:lang w:val="en-US" w:eastAsia="zh-CN"/>
        </w:rPr>
        <w:t>决算数相同</w:t>
      </w:r>
      <w:r>
        <w:rPr>
          <w:rFonts w:hint="eastAsia"/>
          <w:sz w:val="32"/>
          <w:highlight w:val="none"/>
          <w:lang w:eastAsia="zh-CN"/>
        </w:rPr>
        <w:t>。</w:t>
      </w:r>
    </w:p>
    <w:p>
      <w:pPr>
        <w:pStyle w:val="15"/>
        <w:keepNext w:val="0"/>
        <w:keepLines w:val="0"/>
        <w:pageBreakBefore w:val="0"/>
        <w:widowControl w:val="0"/>
        <w:numPr>
          <w:ilvl w:val="0"/>
          <w:numId w:val="0"/>
        </w:numPr>
        <w:tabs>
          <w:tab w:val="left" w:pos="1243"/>
          <w:tab w:val="left" w:pos="6272"/>
        </w:tabs>
        <w:kinsoku/>
        <w:wordWrap/>
        <w:overflowPunct/>
        <w:topLinePunct w:val="0"/>
        <w:autoSpaceDE w:val="0"/>
        <w:autoSpaceDN w:val="0"/>
        <w:bidi w:val="0"/>
        <w:adjustRightInd w:val="0"/>
        <w:snapToGrid w:val="0"/>
        <w:spacing w:line="322" w:lineRule="auto"/>
        <w:ind w:left="24" w:leftChars="11" w:right="434" w:rightChars="0" w:firstLine="358" w:firstLineChars="112"/>
        <w:jc w:val="left"/>
        <w:textAlignment w:val="auto"/>
        <w:rPr>
          <w:rFonts w:hint="eastAsia"/>
          <w:sz w:val="32"/>
          <w:highlight w:val="none"/>
          <w:lang w:eastAsia="zh-CN"/>
        </w:rPr>
      </w:pPr>
      <w:r>
        <w:rPr>
          <w:rFonts w:hint="eastAsia"/>
          <w:sz w:val="32"/>
          <w:highlight w:val="none"/>
          <w:lang w:val="en-US" w:eastAsia="zh-CN"/>
        </w:rPr>
        <w:t>3.</w:t>
      </w:r>
      <w:r>
        <w:rPr>
          <w:sz w:val="32"/>
          <w:highlight w:val="none"/>
        </w:rPr>
        <w:t>国有资本经营预算财政拨款收</w:t>
      </w:r>
      <w:r>
        <w:rPr>
          <w:spacing w:val="3"/>
          <w:sz w:val="32"/>
          <w:highlight w:val="none"/>
        </w:rPr>
        <w:t>入</w:t>
      </w:r>
      <w:r>
        <w:rPr>
          <w:rFonts w:hint="eastAsia"/>
          <w:spacing w:val="3"/>
          <w:sz w:val="32"/>
          <w:highlight w:val="none"/>
          <w:u w:val="single"/>
          <w:lang w:val="en-US" w:eastAsia="zh-CN"/>
        </w:rPr>
        <w:t>0</w:t>
      </w:r>
      <w:r>
        <w:rPr>
          <w:sz w:val="32"/>
          <w:highlight w:val="none"/>
        </w:rPr>
        <w:t>万元</w:t>
      </w:r>
      <w:r>
        <w:rPr>
          <w:spacing w:val="-87"/>
          <w:sz w:val="32"/>
          <w:highlight w:val="none"/>
        </w:rPr>
        <w:t>，</w:t>
      </w:r>
      <w:r>
        <w:rPr>
          <w:sz w:val="32"/>
          <w:highlight w:val="none"/>
        </w:rPr>
        <w:t>为当</w:t>
      </w:r>
      <w:r>
        <w:rPr>
          <w:spacing w:val="-16"/>
          <w:sz w:val="32"/>
          <w:highlight w:val="none"/>
        </w:rPr>
        <w:t>年</w:t>
      </w:r>
      <w:r>
        <w:rPr>
          <w:w w:val="95"/>
          <w:sz w:val="32"/>
          <w:highlight w:val="none"/>
        </w:rPr>
        <w:t>从</w:t>
      </w:r>
      <w:r>
        <w:rPr>
          <w:rFonts w:hint="eastAsia"/>
          <w:w w:val="95"/>
          <w:sz w:val="32"/>
          <w:highlight w:val="none"/>
          <w:lang w:val="en-US" w:eastAsia="zh-CN"/>
        </w:rPr>
        <w:t>同</w:t>
      </w:r>
      <w:r>
        <w:rPr>
          <w:w w:val="95"/>
          <w:sz w:val="32"/>
          <w:highlight w:val="none"/>
        </w:rPr>
        <w:t>级财政取得</w:t>
      </w:r>
      <w:r>
        <w:rPr>
          <w:spacing w:val="3"/>
          <w:w w:val="95"/>
          <w:sz w:val="32"/>
          <w:highlight w:val="none"/>
        </w:rPr>
        <w:t>的</w:t>
      </w:r>
      <w:r>
        <w:rPr>
          <w:w w:val="95"/>
          <w:sz w:val="32"/>
          <w:highlight w:val="none"/>
        </w:rPr>
        <w:t>国有资本经营预算拨款</w:t>
      </w:r>
      <w:r>
        <w:rPr>
          <w:sz w:val="32"/>
          <w:highlight w:val="none"/>
        </w:rPr>
        <w:t>。</w:t>
      </w:r>
      <w:r>
        <w:rPr>
          <w:spacing w:val="7"/>
          <w:w w:val="95"/>
          <w:sz w:val="32"/>
          <w:highlight w:val="none"/>
        </w:rPr>
        <w:t>与上年</w:t>
      </w:r>
      <w:r>
        <w:rPr>
          <w:rFonts w:hint="eastAsia"/>
          <w:spacing w:val="7"/>
          <w:w w:val="95"/>
          <w:sz w:val="32"/>
          <w:highlight w:val="none"/>
          <w:lang w:val="en-US" w:eastAsia="zh-CN"/>
        </w:rPr>
        <w:t>决算数相同</w:t>
      </w:r>
      <w:r>
        <w:rPr>
          <w:rFonts w:hint="eastAsia"/>
          <w:sz w:val="32"/>
          <w:highlight w:val="none"/>
          <w:lang w:eastAsia="zh-CN"/>
        </w:rPr>
        <w:t>。</w:t>
      </w:r>
    </w:p>
    <w:p>
      <w:pPr>
        <w:pStyle w:val="15"/>
        <w:keepNext w:val="0"/>
        <w:keepLines w:val="0"/>
        <w:pageBreakBefore w:val="0"/>
        <w:widowControl w:val="0"/>
        <w:numPr>
          <w:ilvl w:val="0"/>
          <w:numId w:val="0"/>
        </w:numPr>
        <w:tabs>
          <w:tab w:val="left" w:pos="1243"/>
          <w:tab w:val="left" w:pos="6272"/>
        </w:tabs>
        <w:kinsoku/>
        <w:wordWrap/>
        <w:overflowPunct/>
        <w:topLinePunct w:val="0"/>
        <w:autoSpaceDE w:val="0"/>
        <w:autoSpaceDN w:val="0"/>
        <w:bidi w:val="0"/>
        <w:adjustRightInd w:val="0"/>
        <w:snapToGrid w:val="0"/>
        <w:spacing w:line="322" w:lineRule="auto"/>
        <w:ind w:left="24" w:leftChars="11" w:right="434" w:rightChars="0" w:firstLine="358" w:firstLineChars="112"/>
        <w:jc w:val="left"/>
        <w:textAlignment w:val="auto"/>
        <w:rPr>
          <w:sz w:val="32"/>
          <w:highlight w:val="none"/>
        </w:rPr>
      </w:pPr>
      <w:r>
        <w:rPr>
          <w:rFonts w:hint="eastAsia"/>
          <w:sz w:val="32"/>
          <w:highlight w:val="none"/>
          <w:lang w:val="en-US" w:eastAsia="zh-CN"/>
        </w:rPr>
        <w:t xml:space="preserve"> 4.</w:t>
      </w:r>
      <w:r>
        <w:rPr>
          <w:sz w:val="32"/>
          <w:highlight w:val="none"/>
        </w:rPr>
        <w:t>上级补助收入</w:t>
      </w:r>
      <w:r>
        <w:rPr>
          <w:rFonts w:hint="eastAsia"/>
          <w:sz w:val="32"/>
          <w:highlight w:val="none"/>
          <w:u w:val="single"/>
          <w:lang w:val="en-US" w:eastAsia="zh-CN"/>
        </w:rPr>
        <w:t>0</w:t>
      </w:r>
      <w:r>
        <w:rPr>
          <w:sz w:val="32"/>
          <w:highlight w:val="none"/>
        </w:rPr>
        <w:t>万元，为</w:t>
      </w:r>
      <w:r>
        <w:rPr>
          <w:rFonts w:hint="eastAsia"/>
          <w:sz w:val="32"/>
          <w:highlight w:val="none"/>
          <w:u w:val="single"/>
          <w:lang w:eastAsia="zh-CN"/>
        </w:rPr>
        <w:t>连云港市海州区人民检察院</w:t>
      </w:r>
      <w:r>
        <w:rPr>
          <w:sz w:val="32"/>
          <w:highlight w:val="none"/>
        </w:rPr>
        <w:t>收到</w:t>
      </w:r>
      <w:r>
        <w:rPr>
          <w:spacing w:val="-12"/>
          <w:sz w:val="32"/>
          <w:highlight w:val="none"/>
        </w:rPr>
        <w:t>上</w:t>
      </w:r>
      <w:r>
        <w:rPr>
          <w:spacing w:val="14"/>
          <w:w w:val="95"/>
          <w:sz w:val="32"/>
          <w:highlight w:val="none"/>
        </w:rPr>
        <w:t>级单位</w:t>
      </w:r>
      <w:r>
        <w:rPr>
          <w:spacing w:val="11"/>
          <w:w w:val="95"/>
          <w:sz w:val="32"/>
          <w:highlight w:val="none"/>
        </w:rPr>
        <w:t>拨</w:t>
      </w:r>
      <w:r>
        <w:rPr>
          <w:spacing w:val="14"/>
          <w:w w:val="95"/>
          <w:sz w:val="32"/>
          <w:highlight w:val="none"/>
        </w:rPr>
        <w:t>入</w:t>
      </w:r>
      <w:r>
        <w:rPr>
          <w:rFonts w:hint="eastAsia"/>
          <w:spacing w:val="14"/>
          <w:w w:val="95"/>
          <w:sz w:val="32"/>
          <w:highlight w:val="none"/>
          <w:lang w:val="en-US" w:eastAsia="zh-CN"/>
        </w:rPr>
        <w:t>的</w:t>
      </w:r>
      <w:r>
        <w:rPr>
          <w:spacing w:val="11"/>
          <w:w w:val="95"/>
          <w:sz w:val="32"/>
          <w:highlight w:val="none"/>
        </w:rPr>
        <w:t>非</w:t>
      </w:r>
      <w:r>
        <w:rPr>
          <w:spacing w:val="14"/>
          <w:w w:val="95"/>
          <w:sz w:val="32"/>
          <w:highlight w:val="none"/>
        </w:rPr>
        <w:t>财政补</w:t>
      </w:r>
      <w:r>
        <w:rPr>
          <w:spacing w:val="11"/>
          <w:w w:val="95"/>
          <w:sz w:val="32"/>
          <w:highlight w:val="none"/>
        </w:rPr>
        <w:t>助</w:t>
      </w:r>
      <w:r>
        <w:rPr>
          <w:spacing w:val="14"/>
          <w:w w:val="95"/>
          <w:sz w:val="32"/>
          <w:highlight w:val="none"/>
        </w:rPr>
        <w:t>资金</w:t>
      </w:r>
      <w:r>
        <w:rPr>
          <w:spacing w:val="11"/>
          <w:w w:val="95"/>
          <w:sz w:val="32"/>
          <w:highlight w:val="none"/>
        </w:rPr>
        <w:t>。</w:t>
      </w:r>
      <w:r>
        <w:rPr>
          <w:spacing w:val="7"/>
          <w:w w:val="95"/>
          <w:sz w:val="32"/>
          <w:highlight w:val="none"/>
        </w:rPr>
        <w:t>与上年</w:t>
      </w:r>
      <w:r>
        <w:rPr>
          <w:rFonts w:hint="eastAsia"/>
          <w:spacing w:val="7"/>
          <w:w w:val="95"/>
          <w:sz w:val="32"/>
          <w:highlight w:val="none"/>
          <w:lang w:val="en-US" w:eastAsia="zh-CN"/>
        </w:rPr>
        <w:t>决算数相同</w:t>
      </w:r>
      <w:r>
        <w:rPr>
          <w:sz w:val="32"/>
          <w:highlight w:val="none"/>
        </w:rPr>
        <w:t>。</w:t>
      </w:r>
    </w:p>
    <w:p>
      <w:pPr>
        <w:pStyle w:val="15"/>
        <w:keepNext w:val="0"/>
        <w:keepLines w:val="0"/>
        <w:pageBreakBefore w:val="0"/>
        <w:widowControl w:val="0"/>
        <w:numPr>
          <w:ilvl w:val="0"/>
          <w:numId w:val="0"/>
        </w:numPr>
        <w:tabs>
          <w:tab w:val="left" w:pos="1244"/>
          <w:tab w:val="left" w:pos="4121"/>
        </w:tabs>
        <w:kinsoku/>
        <w:wordWrap/>
        <w:overflowPunct/>
        <w:topLinePunct w:val="0"/>
        <w:autoSpaceDE w:val="0"/>
        <w:autoSpaceDN w:val="0"/>
        <w:bidi w:val="0"/>
        <w:adjustRightInd w:val="0"/>
        <w:snapToGrid w:val="0"/>
        <w:spacing w:before="140" w:line="322" w:lineRule="auto"/>
        <w:ind w:left="24" w:leftChars="11" w:right="434" w:rightChars="0" w:firstLine="358" w:firstLineChars="112"/>
        <w:jc w:val="left"/>
        <w:textAlignment w:val="auto"/>
        <w:rPr>
          <w:sz w:val="32"/>
          <w:highlight w:val="none"/>
        </w:rPr>
      </w:pPr>
      <w:r>
        <w:rPr>
          <w:rFonts w:hint="eastAsia"/>
          <w:sz w:val="32"/>
          <w:highlight w:val="none"/>
          <w:lang w:val="en-US" w:eastAsia="zh-CN"/>
        </w:rPr>
        <w:t>5.</w:t>
      </w:r>
      <w:r>
        <w:rPr>
          <w:sz w:val="32"/>
          <w:highlight w:val="none"/>
        </w:rPr>
        <w:t>事业收</w:t>
      </w:r>
      <w:r>
        <w:rPr>
          <w:spacing w:val="3"/>
          <w:sz w:val="32"/>
          <w:highlight w:val="none"/>
        </w:rPr>
        <w:t>入</w:t>
      </w:r>
      <w:r>
        <w:rPr>
          <w:rFonts w:hint="eastAsia"/>
          <w:spacing w:val="3"/>
          <w:sz w:val="32"/>
          <w:highlight w:val="none"/>
          <w:u w:val="single"/>
          <w:lang w:val="en-US" w:eastAsia="zh-CN"/>
        </w:rPr>
        <w:t>0</w:t>
      </w:r>
      <w:r>
        <w:rPr>
          <w:sz w:val="32"/>
          <w:highlight w:val="none"/>
        </w:rPr>
        <w:t>万元</w:t>
      </w:r>
      <w:r>
        <w:rPr>
          <w:spacing w:val="-68"/>
          <w:sz w:val="32"/>
          <w:highlight w:val="none"/>
        </w:rPr>
        <w:t>，</w:t>
      </w:r>
      <w:r>
        <w:rPr>
          <w:sz w:val="32"/>
          <w:highlight w:val="none"/>
        </w:rPr>
        <w:t>为</w:t>
      </w:r>
      <w:r>
        <w:rPr>
          <w:rFonts w:hint="eastAsia"/>
          <w:sz w:val="32"/>
          <w:highlight w:val="none"/>
          <w:u w:val="single"/>
          <w:lang w:eastAsia="zh-CN"/>
        </w:rPr>
        <w:t>连云港市海州区人民检察院</w:t>
      </w:r>
      <w:r>
        <w:rPr>
          <w:sz w:val="32"/>
          <w:highlight w:val="none"/>
        </w:rPr>
        <w:t>开展</w:t>
      </w:r>
      <w:r>
        <w:rPr>
          <w:sz w:val="32"/>
          <w:highlight w:val="none"/>
          <w:u w:val="single"/>
        </w:rPr>
        <w:t>专业</w:t>
      </w:r>
      <w:r>
        <w:rPr>
          <w:sz w:val="32"/>
          <w:highlight w:val="none"/>
        </w:rPr>
        <w:t>业务活动及其辅助活动取得的收入</w:t>
      </w:r>
      <w:r>
        <w:rPr>
          <w:spacing w:val="-84"/>
          <w:sz w:val="32"/>
          <w:highlight w:val="none"/>
        </w:rPr>
        <w:t>。</w:t>
      </w:r>
      <w:r>
        <w:rPr>
          <w:spacing w:val="7"/>
          <w:w w:val="95"/>
          <w:sz w:val="32"/>
          <w:highlight w:val="none"/>
        </w:rPr>
        <w:t>与上年</w:t>
      </w:r>
      <w:r>
        <w:rPr>
          <w:rFonts w:hint="eastAsia"/>
          <w:spacing w:val="7"/>
          <w:w w:val="95"/>
          <w:sz w:val="32"/>
          <w:highlight w:val="none"/>
          <w:lang w:val="en-US" w:eastAsia="zh-CN"/>
        </w:rPr>
        <w:t>决算数相同</w:t>
      </w:r>
      <w:r>
        <w:rPr>
          <w:sz w:val="32"/>
          <w:highlight w:val="none"/>
        </w:rPr>
        <w:t>。</w:t>
      </w:r>
    </w:p>
    <w:p>
      <w:pPr>
        <w:pStyle w:val="15"/>
        <w:keepNext w:val="0"/>
        <w:keepLines w:val="0"/>
        <w:pageBreakBefore w:val="0"/>
        <w:widowControl w:val="0"/>
        <w:numPr>
          <w:ilvl w:val="0"/>
          <w:numId w:val="0"/>
        </w:numPr>
        <w:tabs>
          <w:tab w:val="left" w:pos="1243"/>
          <w:tab w:val="left" w:pos="6272"/>
        </w:tabs>
        <w:kinsoku/>
        <w:wordWrap/>
        <w:overflowPunct/>
        <w:topLinePunct w:val="0"/>
        <w:autoSpaceDE w:val="0"/>
        <w:autoSpaceDN w:val="0"/>
        <w:bidi w:val="0"/>
        <w:adjustRightInd w:val="0"/>
        <w:snapToGrid w:val="0"/>
        <w:spacing w:line="322" w:lineRule="auto"/>
        <w:ind w:left="24" w:leftChars="11" w:right="434" w:rightChars="0" w:firstLine="358" w:firstLineChars="112"/>
        <w:jc w:val="left"/>
        <w:textAlignment w:val="auto"/>
        <w:rPr>
          <w:sz w:val="32"/>
          <w:highlight w:val="none"/>
        </w:rPr>
      </w:pPr>
      <w:r>
        <w:rPr>
          <w:rFonts w:hint="eastAsia"/>
          <w:sz w:val="32"/>
          <w:highlight w:val="none"/>
          <w:lang w:val="en-US" w:eastAsia="zh-CN"/>
        </w:rPr>
        <w:t>6.</w:t>
      </w:r>
      <w:r>
        <w:rPr>
          <w:sz w:val="32"/>
          <w:highlight w:val="none"/>
        </w:rPr>
        <w:t>经营收</w:t>
      </w:r>
      <w:r>
        <w:rPr>
          <w:spacing w:val="3"/>
          <w:sz w:val="32"/>
          <w:highlight w:val="none"/>
        </w:rPr>
        <w:t>入</w:t>
      </w:r>
      <w:r>
        <w:rPr>
          <w:rFonts w:hint="eastAsia"/>
          <w:spacing w:val="3"/>
          <w:sz w:val="32"/>
          <w:highlight w:val="none"/>
          <w:u w:val="single"/>
          <w:lang w:val="en-US" w:eastAsia="zh-CN"/>
        </w:rPr>
        <w:t>0</w:t>
      </w:r>
      <w:r>
        <w:rPr>
          <w:sz w:val="32"/>
          <w:highlight w:val="none"/>
        </w:rPr>
        <w:t>万元，为</w:t>
      </w:r>
      <w:r>
        <w:rPr>
          <w:rFonts w:hint="eastAsia"/>
          <w:sz w:val="32"/>
          <w:highlight w:val="none"/>
          <w:u w:val="single"/>
          <w:lang w:eastAsia="zh-CN"/>
        </w:rPr>
        <w:t>连云港市海州区人民检察院</w:t>
      </w:r>
      <w:r>
        <w:rPr>
          <w:sz w:val="32"/>
          <w:highlight w:val="none"/>
        </w:rPr>
        <w:t>在专业业务活动及其辅助活动之外开展非独立核算经营活动取得的收入。</w:t>
      </w:r>
      <w:r>
        <w:rPr>
          <w:spacing w:val="7"/>
          <w:w w:val="95"/>
          <w:sz w:val="32"/>
          <w:highlight w:val="none"/>
        </w:rPr>
        <w:t>与上年</w:t>
      </w:r>
      <w:r>
        <w:rPr>
          <w:rFonts w:hint="eastAsia"/>
          <w:spacing w:val="7"/>
          <w:w w:val="95"/>
          <w:sz w:val="32"/>
          <w:highlight w:val="none"/>
          <w:lang w:val="en-US" w:eastAsia="zh-CN"/>
        </w:rPr>
        <w:t>决算数相同</w:t>
      </w:r>
      <w:r>
        <w:rPr>
          <w:sz w:val="32"/>
          <w:highlight w:val="none"/>
        </w:rPr>
        <w:t>。</w:t>
      </w:r>
    </w:p>
    <w:p>
      <w:pPr>
        <w:pStyle w:val="15"/>
        <w:keepNext w:val="0"/>
        <w:keepLines w:val="0"/>
        <w:pageBreakBefore w:val="0"/>
        <w:widowControl w:val="0"/>
        <w:numPr>
          <w:ilvl w:val="0"/>
          <w:numId w:val="0"/>
        </w:numPr>
        <w:tabs>
          <w:tab w:val="left" w:pos="1243"/>
          <w:tab w:val="left" w:pos="6272"/>
        </w:tabs>
        <w:kinsoku/>
        <w:wordWrap/>
        <w:overflowPunct/>
        <w:topLinePunct w:val="0"/>
        <w:autoSpaceDE w:val="0"/>
        <w:autoSpaceDN w:val="0"/>
        <w:bidi w:val="0"/>
        <w:adjustRightInd w:val="0"/>
        <w:snapToGrid w:val="0"/>
        <w:spacing w:line="322" w:lineRule="auto"/>
        <w:ind w:left="24" w:leftChars="11" w:right="434" w:rightChars="0" w:firstLine="358" w:firstLineChars="112"/>
        <w:jc w:val="left"/>
        <w:textAlignment w:val="auto"/>
        <w:rPr>
          <w:sz w:val="32"/>
          <w:highlight w:val="none"/>
        </w:rPr>
      </w:pPr>
      <w:r>
        <w:rPr>
          <w:rFonts w:hint="eastAsia"/>
          <w:sz w:val="32"/>
          <w:highlight w:val="none"/>
          <w:lang w:val="en-US" w:eastAsia="zh-CN"/>
        </w:rPr>
        <w:t>7.</w:t>
      </w:r>
      <w:r>
        <w:rPr>
          <w:sz w:val="32"/>
          <w:highlight w:val="none"/>
        </w:rPr>
        <w:t>附属单位上缴收</w:t>
      </w:r>
      <w:r>
        <w:rPr>
          <w:spacing w:val="3"/>
          <w:sz w:val="32"/>
          <w:highlight w:val="none"/>
        </w:rPr>
        <w:t>入</w:t>
      </w:r>
      <w:r>
        <w:rPr>
          <w:rFonts w:hint="eastAsia"/>
          <w:spacing w:val="3"/>
          <w:sz w:val="32"/>
          <w:highlight w:val="none"/>
          <w:u w:val="single"/>
          <w:lang w:val="en-US" w:eastAsia="zh-CN"/>
        </w:rPr>
        <w:t>0</w:t>
      </w:r>
      <w:r>
        <w:rPr>
          <w:w w:val="95"/>
          <w:sz w:val="32"/>
          <w:highlight w:val="none"/>
        </w:rPr>
        <w:t>万元，为</w:t>
      </w:r>
      <w:r>
        <w:rPr>
          <w:rFonts w:hint="eastAsia"/>
          <w:w w:val="95"/>
          <w:sz w:val="32"/>
          <w:highlight w:val="none"/>
          <w:u w:val="single"/>
          <w:lang w:eastAsia="zh-CN"/>
        </w:rPr>
        <w:t>连云港市海州区人民检察院</w:t>
      </w:r>
      <w:r>
        <w:rPr>
          <w:spacing w:val="-13"/>
          <w:w w:val="95"/>
          <w:sz w:val="32"/>
          <w:highlight w:val="none"/>
        </w:rPr>
        <w:t>附</w:t>
      </w:r>
      <w:r>
        <w:rPr>
          <w:w w:val="95"/>
          <w:sz w:val="32"/>
          <w:highlight w:val="none"/>
        </w:rPr>
        <w:t>属独</w:t>
      </w:r>
      <w:r>
        <w:rPr>
          <w:w w:val="95"/>
          <w:sz w:val="32"/>
          <w:highlight w:val="none"/>
          <w:u w:val="none"/>
        </w:rPr>
        <w:t>立核算单</w:t>
      </w:r>
      <w:r>
        <w:rPr>
          <w:spacing w:val="3"/>
          <w:w w:val="95"/>
          <w:sz w:val="32"/>
          <w:highlight w:val="none"/>
          <w:u w:val="none"/>
        </w:rPr>
        <w:t>位</w:t>
      </w:r>
      <w:r>
        <w:rPr>
          <w:w w:val="95"/>
          <w:sz w:val="32"/>
          <w:highlight w:val="none"/>
        </w:rPr>
        <w:t>按照有关规定上缴的收入</w:t>
      </w:r>
      <w:r>
        <w:rPr>
          <w:spacing w:val="-157"/>
          <w:w w:val="95"/>
          <w:sz w:val="32"/>
          <w:highlight w:val="none"/>
        </w:rPr>
        <w:t>。</w:t>
      </w:r>
      <w:r>
        <w:rPr>
          <w:spacing w:val="7"/>
          <w:w w:val="95"/>
          <w:sz w:val="32"/>
          <w:highlight w:val="none"/>
        </w:rPr>
        <w:t>与上年</w:t>
      </w:r>
      <w:r>
        <w:rPr>
          <w:rFonts w:hint="eastAsia"/>
          <w:spacing w:val="7"/>
          <w:w w:val="95"/>
          <w:sz w:val="32"/>
          <w:highlight w:val="none"/>
          <w:lang w:val="en-US" w:eastAsia="zh-CN"/>
        </w:rPr>
        <w:t>决算数相同</w:t>
      </w:r>
      <w:r>
        <w:rPr>
          <w:sz w:val="32"/>
          <w:highlight w:val="none"/>
        </w:rPr>
        <w:t>。</w:t>
      </w:r>
    </w:p>
    <w:p>
      <w:pPr>
        <w:pStyle w:val="15"/>
        <w:keepNext w:val="0"/>
        <w:keepLines w:val="0"/>
        <w:pageBreakBefore w:val="0"/>
        <w:widowControl w:val="0"/>
        <w:numPr>
          <w:ilvl w:val="0"/>
          <w:numId w:val="0"/>
        </w:numPr>
        <w:tabs>
          <w:tab w:val="left" w:pos="1244"/>
          <w:tab w:val="left" w:pos="2157"/>
          <w:tab w:val="left" w:pos="2672"/>
          <w:tab w:val="left" w:pos="4762"/>
          <w:tab w:val="left" w:pos="5377"/>
        </w:tabs>
        <w:kinsoku/>
        <w:wordWrap/>
        <w:overflowPunct/>
        <w:topLinePunct w:val="0"/>
        <w:autoSpaceDE w:val="0"/>
        <w:autoSpaceDN w:val="0"/>
        <w:bidi w:val="0"/>
        <w:adjustRightInd w:val="0"/>
        <w:snapToGrid w:val="0"/>
        <w:spacing w:before="3" w:line="322" w:lineRule="auto"/>
        <w:ind w:left="24" w:leftChars="11" w:right="433" w:rightChars="0" w:firstLine="358" w:firstLineChars="112"/>
        <w:jc w:val="left"/>
        <w:textAlignment w:val="auto"/>
        <w:rPr>
          <w:sz w:val="32"/>
          <w:highlight w:val="none"/>
        </w:rPr>
      </w:pPr>
    </w:p>
    <w:p>
      <w:pPr>
        <w:pStyle w:val="15"/>
        <w:keepNext w:val="0"/>
        <w:keepLines w:val="0"/>
        <w:pageBreakBefore w:val="0"/>
        <w:widowControl w:val="0"/>
        <w:numPr>
          <w:ilvl w:val="0"/>
          <w:numId w:val="0"/>
        </w:numPr>
        <w:tabs>
          <w:tab w:val="left" w:pos="1244"/>
          <w:tab w:val="left" w:pos="2157"/>
          <w:tab w:val="left" w:pos="2672"/>
          <w:tab w:val="left" w:pos="4762"/>
          <w:tab w:val="left" w:pos="5377"/>
        </w:tabs>
        <w:kinsoku/>
        <w:wordWrap/>
        <w:overflowPunct/>
        <w:topLinePunct w:val="0"/>
        <w:autoSpaceDE w:val="0"/>
        <w:autoSpaceDN w:val="0"/>
        <w:bidi w:val="0"/>
        <w:adjustRightInd w:val="0"/>
        <w:snapToGrid w:val="0"/>
        <w:spacing w:before="3" w:line="322" w:lineRule="auto"/>
        <w:ind w:left="24" w:leftChars="11" w:right="433" w:rightChars="0" w:firstLine="349" w:firstLineChars="112"/>
        <w:jc w:val="left"/>
        <w:textAlignment w:val="auto"/>
        <w:rPr>
          <w:w w:val="95"/>
          <w:sz w:val="32"/>
          <w:highlight w:val="none"/>
        </w:rPr>
      </w:pPr>
      <w:r>
        <w:rPr>
          <w:rFonts w:ascii="Times New Roman" w:hAnsi="Times New Roman" w:eastAsia="Times New Roman"/>
          <w:spacing w:val="-4"/>
          <w:sz w:val="32"/>
          <w:highlight w:val="none"/>
        </w:rPr>
        <w:t>8</w:t>
      </w:r>
      <w:r>
        <w:rPr>
          <w:spacing w:val="-4"/>
          <w:sz w:val="32"/>
          <w:highlight w:val="none"/>
        </w:rPr>
        <w:t>．</w:t>
      </w:r>
      <w:r>
        <w:rPr>
          <w:sz w:val="32"/>
          <w:highlight w:val="none"/>
        </w:rPr>
        <w:t>其他收</w:t>
      </w:r>
      <w:r>
        <w:rPr>
          <w:spacing w:val="3"/>
          <w:sz w:val="32"/>
          <w:highlight w:val="none"/>
        </w:rPr>
        <w:t>入</w:t>
      </w:r>
      <w:r>
        <w:rPr>
          <w:rFonts w:hint="eastAsia"/>
          <w:spacing w:val="3"/>
          <w:sz w:val="32"/>
          <w:highlight w:val="none"/>
          <w:u w:val="single"/>
          <w:lang w:val="en-US" w:eastAsia="zh-CN"/>
        </w:rPr>
        <w:t>0</w:t>
      </w:r>
      <w:r>
        <w:rPr>
          <w:w w:val="95"/>
          <w:sz w:val="32"/>
          <w:highlight w:val="none"/>
        </w:rPr>
        <w:t>万元</w:t>
      </w:r>
      <w:r>
        <w:rPr>
          <w:spacing w:val="-8"/>
          <w:w w:val="95"/>
          <w:sz w:val="32"/>
          <w:highlight w:val="none"/>
        </w:rPr>
        <w:t>，</w:t>
      </w:r>
      <w:r>
        <w:rPr>
          <w:w w:val="95"/>
          <w:sz w:val="32"/>
          <w:highlight w:val="none"/>
        </w:rPr>
        <w:t>为单位取得的除上述收入以外的各项收入。与上年相比减少</w:t>
      </w:r>
      <w:r>
        <w:rPr>
          <w:rFonts w:hint="eastAsia"/>
          <w:w w:val="95"/>
          <w:sz w:val="32"/>
          <w:highlight w:val="none"/>
          <w:lang w:val="en-US" w:eastAsia="zh-CN"/>
        </w:rPr>
        <w:t>305.23</w:t>
      </w:r>
      <w:r>
        <w:rPr>
          <w:w w:val="95"/>
          <w:sz w:val="32"/>
          <w:highlight w:val="none"/>
        </w:rPr>
        <w:t>万元。主要原因是</w:t>
      </w:r>
      <w:r>
        <w:rPr>
          <w:rFonts w:hint="eastAsia"/>
          <w:w w:val="95"/>
          <w:sz w:val="32"/>
          <w:highlight w:val="none"/>
          <w:lang w:val="en-US" w:eastAsia="zh-CN"/>
        </w:rPr>
        <w:t>去年用于</w:t>
      </w:r>
      <w:r>
        <w:rPr>
          <w:w w:val="95"/>
          <w:sz w:val="32"/>
          <w:highlight w:val="none"/>
        </w:rPr>
        <w:t>补以前年度职业年金的收入</w:t>
      </w:r>
      <w:r>
        <w:rPr>
          <w:rFonts w:hint="eastAsia"/>
          <w:w w:val="95"/>
          <w:sz w:val="32"/>
          <w:highlight w:val="none"/>
          <w:lang w:eastAsia="zh-CN"/>
        </w:rPr>
        <w:t>，</w:t>
      </w:r>
      <w:r>
        <w:rPr>
          <w:rFonts w:hint="eastAsia"/>
          <w:w w:val="95"/>
          <w:sz w:val="32"/>
          <w:highlight w:val="none"/>
          <w:lang w:val="en-US" w:eastAsia="zh-CN"/>
        </w:rPr>
        <w:t>今年无此项业务发生</w:t>
      </w:r>
      <w:r>
        <w:rPr>
          <w:w w:val="95"/>
          <w:sz w:val="32"/>
          <w:highlight w:val="none"/>
        </w:rPr>
        <w:t>。</w:t>
      </w:r>
    </w:p>
    <w:p>
      <w:pPr>
        <w:pStyle w:val="2"/>
        <w:keepNext w:val="0"/>
        <w:keepLines w:val="0"/>
        <w:pageBreakBefore w:val="0"/>
        <w:widowControl w:val="0"/>
        <w:tabs>
          <w:tab w:val="left" w:pos="2157"/>
          <w:tab w:val="left" w:pos="4352"/>
          <w:tab w:val="left" w:pos="5377"/>
        </w:tabs>
        <w:kinsoku/>
        <w:wordWrap/>
        <w:overflowPunct/>
        <w:topLinePunct w:val="0"/>
        <w:autoSpaceDE w:val="0"/>
        <w:autoSpaceDN w:val="0"/>
        <w:bidi w:val="0"/>
        <w:adjustRightInd w:val="0"/>
        <w:snapToGrid w:val="0"/>
        <w:spacing w:before="2" w:line="322" w:lineRule="auto"/>
        <w:ind w:left="24" w:leftChars="11" w:right="436" w:firstLine="262" w:firstLineChars="112"/>
        <w:jc w:val="left"/>
        <w:textAlignment w:val="auto"/>
        <w:rPr>
          <w:highlight w:val="none"/>
        </w:rPr>
      </w:pPr>
      <w:r>
        <w:rPr>
          <w:rFonts w:hint="eastAsia" w:ascii="Times New Roman" w:hAnsi="Times New Roman"/>
          <w:spacing w:val="-43"/>
          <w:highlight w:val="none"/>
          <w:lang w:val="en-US" w:eastAsia="zh-CN"/>
        </w:rPr>
        <w:t xml:space="preserve">   </w:t>
      </w:r>
      <w:r>
        <w:rPr>
          <w:rFonts w:ascii="Times New Roman" w:hAnsi="Times New Roman" w:eastAsia="Times New Roman"/>
          <w:spacing w:val="-43"/>
          <w:highlight w:val="none"/>
        </w:rPr>
        <w:t>9</w:t>
      </w:r>
      <w:r>
        <w:rPr>
          <w:spacing w:val="-43"/>
          <w:highlight w:val="none"/>
        </w:rPr>
        <w:t>．</w:t>
      </w:r>
      <w:r>
        <w:rPr>
          <w:highlight w:val="none"/>
        </w:rPr>
        <w:t>使用非财政拨款结</w:t>
      </w:r>
      <w:r>
        <w:rPr>
          <w:spacing w:val="3"/>
          <w:highlight w:val="none"/>
        </w:rPr>
        <w:t>余</w:t>
      </w:r>
      <w:r>
        <w:rPr>
          <w:rFonts w:hint="eastAsia"/>
          <w:spacing w:val="3"/>
          <w:highlight w:val="none"/>
          <w:u w:val="single"/>
          <w:lang w:val="en-US" w:eastAsia="zh-CN"/>
        </w:rPr>
        <w:t>0</w:t>
      </w:r>
      <w:r>
        <w:rPr>
          <w:w w:val="95"/>
          <w:highlight w:val="none"/>
        </w:rPr>
        <w:t>万元</w:t>
      </w:r>
      <w:r>
        <w:rPr>
          <w:spacing w:val="-84"/>
          <w:w w:val="95"/>
          <w:highlight w:val="none"/>
        </w:rPr>
        <w:t>，</w:t>
      </w:r>
      <w:r>
        <w:rPr>
          <w:w w:val="95"/>
          <w:highlight w:val="none"/>
        </w:rPr>
        <w:t>为</w:t>
      </w:r>
      <w:r>
        <w:rPr>
          <w:rFonts w:hint="eastAsia"/>
          <w:w w:val="95"/>
          <w:highlight w:val="none"/>
          <w:lang w:eastAsia="zh-CN"/>
        </w:rPr>
        <w:t>连云港市海州区人民检察院</w:t>
      </w:r>
      <w:r>
        <w:rPr>
          <w:w w:val="95"/>
          <w:highlight w:val="none"/>
        </w:rPr>
        <w:t>使用非</w:t>
      </w:r>
      <w:r>
        <w:rPr>
          <w:spacing w:val="-1"/>
          <w:highlight w:val="none"/>
        </w:rPr>
        <w:t>财政拨款结余</w:t>
      </w:r>
      <w:r>
        <w:rPr>
          <w:highlight w:val="none"/>
        </w:rPr>
        <w:t>（原事业基金</w:t>
      </w:r>
      <w:r>
        <w:rPr>
          <w:spacing w:val="-5"/>
          <w:highlight w:val="none"/>
        </w:rPr>
        <w:t>）</w:t>
      </w:r>
      <w:r>
        <w:rPr>
          <w:spacing w:val="-1"/>
          <w:highlight w:val="none"/>
        </w:rPr>
        <w:t>弥补当年收支差额的数额。主要为</w:t>
      </w:r>
      <w:r>
        <w:rPr>
          <w:rFonts w:hint="eastAsia"/>
          <w:spacing w:val="-1"/>
          <w:highlight w:val="none"/>
          <w:u w:val="single"/>
          <w:lang w:val="en-US" w:eastAsia="zh-CN"/>
        </w:rPr>
        <w:t>连云港市海州区人民检察院</w:t>
      </w:r>
      <w:r>
        <w:rPr>
          <w:spacing w:val="-11"/>
          <w:highlight w:val="none"/>
        </w:rPr>
        <w:t>使用以前年度积累的非财政拨款结余</w:t>
      </w:r>
      <w:r>
        <w:rPr>
          <w:highlight w:val="none"/>
        </w:rPr>
        <w:t>（</w:t>
      </w:r>
      <w:r>
        <w:rPr>
          <w:spacing w:val="-3"/>
          <w:highlight w:val="none"/>
        </w:rPr>
        <w:t>原事业</w:t>
      </w:r>
      <w:r>
        <w:rPr>
          <w:highlight w:val="none"/>
        </w:rPr>
        <w:t>基金）弥补当年收支缺口的资金。</w:t>
      </w:r>
    </w:p>
    <w:p>
      <w:pPr>
        <w:pStyle w:val="2"/>
        <w:keepNext w:val="0"/>
        <w:keepLines w:val="0"/>
        <w:pageBreakBefore w:val="0"/>
        <w:widowControl w:val="0"/>
        <w:tabs>
          <w:tab w:val="left" w:pos="4522"/>
        </w:tabs>
        <w:kinsoku/>
        <w:wordWrap/>
        <w:overflowPunct/>
        <w:topLinePunct w:val="0"/>
        <w:autoSpaceDE w:val="0"/>
        <w:autoSpaceDN w:val="0"/>
        <w:bidi w:val="0"/>
        <w:adjustRightInd w:val="0"/>
        <w:snapToGrid w:val="0"/>
        <w:spacing w:before="1" w:line="322" w:lineRule="auto"/>
        <w:ind w:left="24" w:leftChars="11" w:right="436" w:firstLine="300" w:firstLineChars="112"/>
        <w:jc w:val="left"/>
        <w:textAlignment w:val="auto"/>
        <w:rPr>
          <w:highlight w:val="none"/>
        </w:rPr>
      </w:pPr>
      <w:r>
        <w:rPr>
          <w:rFonts w:ascii="Times New Roman" w:eastAsia="Times New Roman"/>
          <w:spacing w:val="-26"/>
          <w:highlight w:val="none"/>
        </w:rPr>
        <w:t>10</w:t>
      </w:r>
      <w:r>
        <w:rPr>
          <w:spacing w:val="-26"/>
          <w:highlight w:val="none"/>
        </w:rPr>
        <w:t>．</w:t>
      </w:r>
      <w:r>
        <w:rPr>
          <w:highlight w:val="none"/>
        </w:rPr>
        <w:t>年初结转和结</w:t>
      </w:r>
      <w:r>
        <w:rPr>
          <w:spacing w:val="3"/>
          <w:highlight w:val="none"/>
        </w:rPr>
        <w:t>余</w:t>
      </w:r>
      <w:r>
        <w:rPr>
          <w:rFonts w:hint="eastAsia"/>
          <w:spacing w:val="3"/>
          <w:highlight w:val="none"/>
          <w:lang w:val="en-US" w:eastAsia="zh-CN"/>
        </w:rPr>
        <w:t>184.52</w:t>
      </w:r>
      <w:r>
        <w:rPr>
          <w:highlight w:val="none"/>
        </w:rPr>
        <w:t>万元</w:t>
      </w:r>
      <w:r>
        <w:rPr>
          <w:spacing w:val="-77"/>
          <w:highlight w:val="none"/>
        </w:rPr>
        <w:t>，</w:t>
      </w:r>
      <w:r>
        <w:rPr>
          <w:highlight w:val="none"/>
        </w:rPr>
        <w:t>主要</w:t>
      </w:r>
      <w:r>
        <w:rPr>
          <w:spacing w:val="3"/>
          <w:highlight w:val="none"/>
        </w:rPr>
        <w:t>为</w:t>
      </w:r>
      <w:r>
        <w:rPr>
          <w:rFonts w:hint="eastAsia" w:ascii="Times New Roman"/>
          <w:highlight w:val="none"/>
          <w:u w:val="single"/>
          <w:lang w:val="en-US" w:eastAsia="zh-CN"/>
        </w:rPr>
        <w:t>连云港市海州区人民检察院</w:t>
      </w:r>
      <w:r>
        <w:rPr>
          <w:highlight w:val="none"/>
        </w:rPr>
        <w:t>上年</w:t>
      </w:r>
      <w:r>
        <w:rPr>
          <w:spacing w:val="-14"/>
          <w:highlight w:val="none"/>
        </w:rPr>
        <w:t>结</w:t>
      </w:r>
      <w:r>
        <w:rPr>
          <w:highlight w:val="none"/>
        </w:rPr>
        <w:t>转本年使用的</w:t>
      </w:r>
      <w:r>
        <w:rPr>
          <w:highlight w:val="none"/>
          <w:u w:val="single"/>
        </w:rPr>
        <w:t>政法转移支付专款专用资金</w:t>
      </w:r>
      <w:r>
        <w:rPr>
          <w:highlight w:val="none"/>
        </w:rPr>
        <w:t>。</w:t>
      </w:r>
    </w:p>
    <w:p>
      <w:pPr>
        <w:pStyle w:val="14"/>
        <w:keepNext w:val="0"/>
        <w:keepLines w:val="0"/>
        <w:pageBreakBefore w:val="0"/>
        <w:widowControl w:val="0"/>
        <w:tabs>
          <w:tab w:val="left" w:pos="3656"/>
        </w:tabs>
        <w:kinsoku/>
        <w:wordWrap/>
        <w:overflowPunct/>
        <w:topLinePunct w:val="0"/>
        <w:autoSpaceDE w:val="0"/>
        <w:autoSpaceDN w:val="0"/>
        <w:bidi w:val="0"/>
        <w:adjustRightInd/>
        <w:snapToGrid w:val="0"/>
        <w:spacing w:line="477" w:lineRule="exact"/>
        <w:ind w:left="0" w:leftChars="0" w:firstLine="0" w:firstLineChars="0"/>
        <w:textAlignment w:val="auto"/>
        <w:rPr>
          <w:highlight w:val="none"/>
        </w:rPr>
      </w:pPr>
      <w:r>
        <w:rPr>
          <w:highlight w:val="none"/>
        </w:rPr>
        <w:t>（二）支出总</w:t>
      </w:r>
      <w:r>
        <w:rPr>
          <w:spacing w:val="3"/>
          <w:highlight w:val="none"/>
        </w:rPr>
        <w:t>计</w:t>
      </w:r>
      <w:r>
        <w:rPr>
          <w:spacing w:val="3"/>
          <w:highlight w:val="none"/>
          <w:u w:val="thick"/>
        </w:rPr>
        <w:t xml:space="preserve"> </w:t>
      </w:r>
      <w:r>
        <w:rPr>
          <w:rFonts w:hint="eastAsia" w:eastAsia="宋体"/>
          <w:spacing w:val="3"/>
          <w:highlight w:val="none"/>
          <w:u w:val="thick"/>
          <w:lang w:val="en-US" w:eastAsia="zh-CN"/>
        </w:rPr>
        <w:t>4898.32</w:t>
      </w:r>
      <w:r>
        <w:rPr>
          <w:highlight w:val="none"/>
        </w:rPr>
        <w:t>万元。包括：</w:t>
      </w:r>
    </w:p>
    <w:p>
      <w:pPr>
        <w:pStyle w:val="2"/>
        <w:keepNext w:val="0"/>
        <w:keepLines w:val="0"/>
        <w:pageBreakBefore w:val="0"/>
        <w:widowControl w:val="0"/>
        <w:kinsoku/>
        <w:wordWrap/>
        <w:overflowPunct/>
        <w:topLinePunct w:val="0"/>
        <w:autoSpaceDE w:val="0"/>
        <w:autoSpaceDN w:val="0"/>
        <w:bidi w:val="0"/>
        <w:adjustRightInd/>
        <w:snapToGrid w:val="0"/>
        <w:spacing w:before="43"/>
        <w:textAlignment w:val="auto"/>
        <w:rPr>
          <w:highlight w:val="none"/>
        </w:rPr>
      </w:pPr>
    </w:p>
    <w:p>
      <w:pPr>
        <w:pStyle w:val="2"/>
        <w:keepNext w:val="0"/>
        <w:keepLines w:val="0"/>
        <w:pageBreakBefore w:val="0"/>
        <w:widowControl w:val="0"/>
        <w:numPr>
          <w:ilvl w:val="0"/>
          <w:numId w:val="2"/>
        </w:numPr>
        <w:kinsoku/>
        <w:wordWrap/>
        <w:overflowPunct/>
        <w:topLinePunct w:val="0"/>
        <w:autoSpaceDE w:val="0"/>
        <w:autoSpaceDN w:val="0"/>
        <w:bidi w:val="0"/>
        <w:adjustRightInd w:val="0"/>
        <w:snapToGrid/>
        <w:spacing w:before="43"/>
        <w:ind w:left="0" w:leftChars="0" w:firstLine="640" w:firstLineChars="200"/>
        <w:jc w:val="left"/>
        <w:textAlignment w:val="auto"/>
        <w:rPr>
          <w:highlight w:val="none"/>
        </w:rPr>
      </w:pPr>
      <w:r>
        <w:rPr>
          <w:sz w:val="32"/>
          <w:highlight w:val="none"/>
        </w:rPr>
        <w:t>公共安</w:t>
      </w:r>
      <w:r>
        <w:rPr>
          <w:spacing w:val="-34"/>
          <w:sz w:val="32"/>
          <w:highlight w:val="none"/>
        </w:rPr>
        <w:t>全</w:t>
      </w:r>
      <w:r>
        <w:rPr>
          <w:sz w:val="32"/>
          <w:highlight w:val="none"/>
        </w:rPr>
        <w:t>（类</w:t>
      </w:r>
      <w:r>
        <w:rPr>
          <w:spacing w:val="-34"/>
          <w:sz w:val="32"/>
          <w:highlight w:val="none"/>
        </w:rPr>
        <w:t>）</w:t>
      </w:r>
      <w:r>
        <w:rPr>
          <w:sz w:val="32"/>
          <w:highlight w:val="none"/>
        </w:rPr>
        <w:t>支</w:t>
      </w:r>
      <w:r>
        <w:rPr>
          <w:spacing w:val="3"/>
          <w:sz w:val="32"/>
          <w:highlight w:val="none"/>
        </w:rPr>
        <w:t>出</w:t>
      </w:r>
      <w:r>
        <w:rPr>
          <w:rFonts w:hint="eastAsia"/>
          <w:spacing w:val="3"/>
          <w:sz w:val="32"/>
          <w:highlight w:val="none"/>
          <w:u w:val="single"/>
          <w:lang w:val="en-US" w:eastAsia="zh-CN"/>
        </w:rPr>
        <w:t>3322.32</w:t>
      </w:r>
      <w:r>
        <w:rPr>
          <w:sz w:val="32"/>
          <w:highlight w:val="none"/>
        </w:rPr>
        <w:t>万元</w:t>
      </w:r>
      <w:r>
        <w:rPr>
          <w:spacing w:val="-34"/>
          <w:sz w:val="32"/>
          <w:highlight w:val="none"/>
        </w:rPr>
        <w:t>，</w:t>
      </w:r>
      <w:r>
        <w:rPr>
          <w:sz w:val="32"/>
          <w:highlight w:val="none"/>
        </w:rPr>
        <w:t>主要用</w:t>
      </w:r>
      <w:r>
        <w:rPr>
          <w:spacing w:val="3"/>
          <w:sz w:val="32"/>
          <w:highlight w:val="none"/>
        </w:rPr>
        <w:t>于</w:t>
      </w:r>
      <w:r>
        <w:rPr>
          <w:sz w:val="32"/>
          <w:highlight w:val="none"/>
        </w:rPr>
        <w:t>查办各 类刑事案件。与</w:t>
      </w:r>
      <w:r>
        <w:rPr>
          <w:spacing w:val="-15"/>
          <w:sz w:val="32"/>
          <w:highlight w:val="none"/>
        </w:rPr>
        <w:t>上</w:t>
      </w:r>
      <w:r>
        <w:rPr>
          <w:sz w:val="32"/>
          <w:highlight w:val="none"/>
        </w:rPr>
        <w:t>年相比减少</w:t>
      </w:r>
      <w:r>
        <w:rPr>
          <w:rFonts w:hint="eastAsia"/>
          <w:sz w:val="32"/>
          <w:highlight w:val="none"/>
          <w:u w:val="single"/>
          <w:lang w:val="en-US" w:eastAsia="zh-CN"/>
        </w:rPr>
        <w:t>115.89</w:t>
      </w:r>
      <w:r>
        <w:rPr>
          <w:sz w:val="32"/>
          <w:highlight w:val="none"/>
        </w:rPr>
        <w:t>万元</w:t>
      </w:r>
      <w:r>
        <w:rPr>
          <w:spacing w:val="-46"/>
          <w:sz w:val="32"/>
          <w:highlight w:val="none"/>
        </w:rPr>
        <w:t>，</w:t>
      </w:r>
      <w:r>
        <w:rPr>
          <w:sz w:val="32"/>
          <w:highlight w:val="none"/>
        </w:rPr>
        <w:t>减少</w:t>
      </w:r>
      <w:r>
        <w:rPr>
          <w:rFonts w:hint="eastAsia"/>
          <w:sz w:val="32"/>
          <w:highlight w:val="none"/>
          <w:u w:val="single"/>
          <w:lang w:val="en-US" w:eastAsia="zh-CN"/>
        </w:rPr>
        <w:t>3.37</w:t>
      </w:r>
      <w:r>
        <w:rPr>
          <w:rFonts w:ascii="Times New Roman" w:hAnsi="Times New Roman" w:eastAsia="Times New Roman"/>
          <w:sz w:val="32"/>
          <w:highlight w:val="none"/>
        </w:rPr>
        <w:t>%</w:t>
      </w:r>
      <w:r>
        <w:rPr>
          <w:spacing w:val="-44"/>
          <w:sz w:val="32"/>
          <w:highlight w:val="none"/>
        </w:rPr>
        <w:t>。</w:t>
      </w:r>
      <w:r>
        <w:rPr>
          <w:sz w:val="32"/>
          <w:highlight w:val="none"/>
        </w:rPr>
        <w:t>主要</w:t>
      </w:r>
      <w:r>
        <w:rPr>
          <w:rFonts w:hint="eastAsia"/>
          <w:sz w:val="32"/>
          <w:highlight w:val="none"/>
          <w:lang w:val="en-US" w:eastAsia="zh-CN"/>
        </w:rPr>
        <w:t>原</w:t>
      </w:r>
      <w:r>
        <w:rPr>
          <w:highlight w:val="none"/>
        </w:rPr>
        <w:t>因是</w:t>
      </w:r>
      <w:r>
        <w:rPr>
          <w:rFonts w:hint="eastAsia" w:ascii="Times New Roman" w:hAnsi="Times New Roman"/>
          <w:highlight w:val="none"/>
          <w:lang w:val="en-US" w:eastAsia="zh-CN"/>
        </w:rPr>
        <w:t>减少检察监督项目支出</w:t>
      </w:r>
      <w:r>
        <w:rPr>
          <w:highlight w:val="none"/>
        </w:rPr>
        <w:t>。</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43"/>
        <w:ind w:leftChars="200"/>
        <w:jc w:val="left"/>
        <w:textAlignment w:val="auto"/>
        <w:rPr>
          <w:highlight w:val="none"/>
        </w:rPr>
      </w:pPr>
    </w:p>
    <w:p>
      <w:pPr>
        <w:pStyle w:val="2"/>
        <w:keepNext w:val="0"/>
        <w:keepLines w:val="0"/>
        <w:pageBreakBefore w:val="0"/>
        <w:widowControl w:val="0"/>
        <w:numPr>
          <w:ilvl w:val="0"/>
          <w:numId w:val="2"/>
        </w:numPr>
        <w:kinsoku/>
        <w:wordWrap/>
        <w:overflowPunct/>
        <w:topLinePunct w:val="0"/>
        <w:autoSpaceDE w:val="0"/>
        <w:autoSpaceDN w:val="0"/>
        <w:bidi w:val="0"/>
        <w:adjustRightInd w:val="0"/>
        <w:snapToGrid/>
        <w:spacing w:before="43"/>
        <w:ind w:left="0" w:leftChars="0" w:firstLine="640" w:firstLineChars="200"/>
        <w:jc w:val="left"/>
        <w:textAlignment w:val="auto"/>
        <w:rPr>
          <w:highlight w:val="none"/>
        </w:rPr>
      </w:pPr>
      <w:r>
        <w:rPr>
          <w:rFonts w:hint="eastAsia"/>
          <w:highlight w:val="none"/>
          <w:lang w:val="en-US" w:eastAsia="zh-CN"/>
        </w:rPr>
        <w:t>社会保障和就业支出（类）支出</w:t>
      </w:r>
      <w:r>
        <w:rPr>
          <w:rFonts w:hint="eastAsia"/>
          <w:highlight w:val="none"/>
          <w:u w:val="single"/>
          <w:lang w:val="en-US" w:eastAsia="zh-CN"/>
        </w:rPr>
        <w:t>251.01</w:t>
      </w:r>
      <w:r>
        <w:rPr>
          <w:rFonts w:hint="eastAsia"/>
          <w:highlight w:val="none"/>
          <w:lang w:val="en-US" w:eastAsia="zh-CN"/>
        </w:rPr>
        <w:t>万元，主要用于机关事业单位养老保险，职业年金缴费支出 。与上年相比减少</w:t>
      </w:r>
      <w:r>
        <w:rPr>
          <w:rFonts w:hint="eastAsia"/>
          <w:highlight w:val="none"/>
          <w:u w:val="single"/>
          <w:lang w:val="en-US" w:eastAsia="zh-CN"/>
        </w:rPr>
        <w:t>290.92</w:t>
      </w:r>
      <w:r>
        <w:rPr>
          <w:rFonts w:hint="eastAsia"/>
          <w:highlight w:val="none"/>
          <w:lang w:val="en-US" w:eastAsia="zh-CN"/>
        </w:rPr>
        <w:t>万元，减少</w:t>
      </w:r>
      <w:r>
        <w:rPr>
          <w:rFonts w:hint="eastAsia"/>
          <w:highlight w:val="none"/>
          <w:u w:val="single"/>
          <w:lang w:val="en-US" w:eastAsia="zh-CN"/>
        </w:rPr>
        <w:t>53.68</w:t>
      </w:r>
      <w:r>
        <w:rPr>
          <w:rFonts w:hint="eastAsia"/>
          <w:highlight w:val="none"/>
          <w:lang w:val="en-US" w:eastAsia="zh-CN"/>
        </w:rPr>
        <w:t xml:space="preserve"> %。主要原因是2019年补缴以前年度机关事业单位养老保险，职业年金。</w:t>
      </w:r>
    </w:p>
    <w:p>
      <w:pPr>
        <w:keepNext w:val="0"/>
        <w:keepLines w:val="0"/>
        <w:pageBreakBefore w:val="0"/>
        <w:widowControl w:val="0"/>
        <w:tabs>
          <w:tab w:val="decimal" w:pos="420"/>
        </w:tabs>
        <w:kinsoku/>
        <w:wordWrap/>
        <w:overflowPunct/>
        <w:topLinePunct w:val="0"/>
        <w:autoSpaceDE w:val="0"/>
        <w:autoSpaceDN w:val="0"/>
        <w:bidi w:val="0"/>
        <w:adjustRightInd w:val="0"/>
        <w:snapToGrid w:val="0"/>
        <w:spacing w:line="240" w:lineRule="auto"/>
        <w:ind w:left="0" w:leftChars="0" w:right="0" w:firstLine="640" w:firstLineChars="200"/>
        <w:jc w:val="both"/>
        <w:textAlignment w:val="top"/>
        <w:rPr>
          <w:rFonts w:hint="eastAsia"/>
          <w:highlight w:val="none"/>
          <w:lang w:val="en-US" w:eastAsia="zh-CN"/>
        </w:rPr>
      </w:pPr>
      <w:r>
        <w:rPr>
          <w:rFonts w:hint="eastAsia"/>
          <w:sz w:val="32"/>
          <w:highlight w:val="none"/>
          <w:lang w:val="en-US" w:eastAsia="zh-CN"/>
        </w:rPr>
        <w:t xml:space="preserve">                                                                          </w:t>
      </w:r>
    </w:p>
    <w:p>
      <w:pPr>
        <w:keepNext w:val="0"/>
        <w:keepLines w:val="0"/>
        <w:pageBreakBefore w:val="0"/>
        <w:widowControl w:val="0"/>
        <w:tabs>
          <w:tab w:val="decimal" w:pos="420"/>
        </w:tabs>
        <w:kinsoku/>
        <w:wordWrap/>
        <w:overflowPunct/>
        <w:topLinePunct w:val="0"/>
        <w:autoSpaceDE w:val="0"/>
        <w:autoSpaceDN w:val="0"/>
        <w:bidi w:val="0"/>
        <w:adjustRightInd w:val="0"/>
        <w:snapToGrid/>
        <w:spacing w:line="240" w:lineRule="auto"/>
        <w:ind w:left="0" w:leftChars="0" w:right="0" w:firstLine="640" w:firstLineChars="200"/>
        <w:textAlignment w:val="top"/>
        <w:rPr>
          <w:rStyle w:val="20"/>
          <w:rFonts w:hint="eastAsia"/>
          <w:highlight w:val="none"/>
        </w:rPr>
      </w:pPr>
    </w:p>
    <w:p>
      <w:pPr>
        <w:pStyle w:val="15"/>
        <w:keepNext w:val="0"/>
        <w:keepLines w:val="0"/>
        <w:pageBreakBefore w:val="0"/>
        <w:widowControl w:val="0"/>
        <w:numPr>
          <w:ilvl w:val="0"/>
          <w:numId w:val="2"/>
        </w:numPr>
        <w:tabs>
          <w:tab w:val="decimal" w:pos="420"/>
          <w:tab w:val="left" w:pos="1243"/>
          <w:tab w:val="clear" w:pos="312"/>
        </w:tabs>
        <w:kinsoku/>
        <w:wordWrap/>
        <w:overflowPunct/>
        <w:topLinePunct w:val="0"/>
        <w:autoSpaceDE w:val="0"/>
        <w:autoSpaceDN w:val="0"/>
        <w:bidi w:val="0"/>
        <w:adjustRightInd w:val="0"/>
        <w:snapToGrid/>
        <w:spacing w:line="240" w:lineRule="auto"/>
        <w:ind w:left="0" w:leftChars="0" w:right="0" w:rightChars="0" w:firstLine="640" w:firstLineChars="200"/>
        <w:jc w:val="left"/>
        <w:textAlignment w:val="top"/>
        <w:rPr>
          <w:sz w:val="32"/>
          <w:highlight w:val="none"/>
        </w:rPr>
      </w:pPr>
      <w:r>
        <w:rPr>
          <w:rFonts w:hint="eastAsia"/>
          <w:sz w:val="32"/>
          <w:highlight w:val="none"/>
          <w:lang w:val="en-US" w:eastAsia="zh-CN"/>
        </w:rPr>
        <w:t>住房保障</w:t>
      </w:r>
      <w:r>
        <w:rPr>
          <w:sz w:val="32"/>
          <w:highlight w:val="none"/>
        </w:rPr>
        <w:t>（类</w:t>
      </w:r>
      <w:r>
        <w:rPr>
          <w:spacing w:val="-44"/>
          <w:sz w:val="32"/>
          <w:highlight w:val="none"/>
        </w:rPr>
        <w:t>）</w:t>
      </w:r>
      <w:r>
        <w:rPr>
          <w:spacing w:val="1"/>
          <w:sz w:val="32"/>
          <w:highlight w:val="none"/>
        </w:rPr>
        <w:t>支出</w:t>
      </w:r>
      <w:r>
        <w:rPr>
          <w:rFonts w:hint="eastAsia"/>
          <w:spacing w:val="1"/>
          <w:sz w:val="32"/>
          <w:highlight w:val="none"/>
          <w:u w:val="single"/>
          <w:lang w:val="en-US" w:eastAsia="zh-CN"/>
        </w:rPr>
        <w:t>906.69</w:t>
      </w:r>
      <w:r>
        <w:rPr>
          <w:spacing w:val="11"/>
          <w:sz w:val="32"/>
          <w:highlight w:val="none"/>
        </w:rPr>
        <w:t>万元，主要用于</w:t>
      </w:r>
      <w:r>
        <w:rPr>
          <w:rFonts w:hint="eastAsia"/>
          <w:spacing w:val="11"/>
          <w:sz w:val="32"/>
          <w:highlight w:val="none"/>
        </w:rPr>
        <w:t>住房公积金和提租补贴</w:t>
      </w:r>
      <w:r>
        <w:rPr>
          <w:rFonts w:ascii="Times New Roman" w:hAnsi="Times New Roman" w:eastAsia="Times New Roman"/>
          <w:sz w:val="32"/>
          <w:highlight w:val="none"/>
        </w:rPr>
        <w:t xml:space="preserve"> </w:t>
      </w:r>
      <w:r>
        <w:rPr>
          <w:spacing w:val="-9"/>
          <w:sz w:val="32"/>
          <w:highlight w:val="none"/>
        </w:rPr>
        <w:t>。与上年相比增加</w:t>
      </w:r>
      <w:r>
        <w:rPr>
          <w:rFonts w:hint="eastAsia"/>
          <w:spacing w:val="-9"/>
          <w:sz w:val="32"/>
          <w:highlight w:val="none"/>
          <w:u w:val="single"/>
          <w:lang w:val="en-US" w:eastAsia="zh-CN"/>
        </w:rPr>
        <w:t>412.5</w:t>
      </w:r>
      <w:r>
        <w:rPr>
          <w:spacing w:val="2"/>
          <w:sz w:val="32"/>
          <w:highlight w:val="none"/>
        </w:rPr>
        <w:t>万元，增</w:t>
      </w:r>
      <w:r>
        <w:rPr>
          <w:rFonts w:hint="eastAsia"/>
          <w:spacing w:val="2"/>
          <w:sz w:val="32"/>
          <w:highlight w:val="none"/>
          <w:lang w:val="en-US" w:eastAsia="zh-CN"/>
        </w:rPr>
        <w:t>加</w:t>
      </w:r>
      <w:r>
        <w:rPr>
          <w:rFonts w:hint="eastAsia"/>
          <w:sz w:val="32"/>
          <w:highlight w:val="none"/>
          <w:u w:val="single"/>
          <w:lang w:val="en-US" w:eastAsia="zh-CN"/>
        </w:rPr>
        <w:t>45.5</w:t>
      </w:r>
      <w:r>
        <w:rPr>
          <w:rFonts w:ascii="Times New Roman" w:hAnsi="Times New Roman" w:eastAsia="Times New Roman"/>
          <w:sz w:val="32"/>
          <w:highlight w:val="none"/>
        </w:rPr>
        <w:t>%</w:t>
      </w:r>
      <w:r>
        <w:rPr>
          <w:spacing w:val="-44"/>
          <w:sz w:val="32"/>
          <w:highlight w:val="none"/>
        </w:rPr>
        <w:t>。</w:t>
      </w:r>
      <w:r>
        <w:rPr>
          <w:spacing w:val="-10"/>
          <w:sz w:val="32"/>
          <w:highlight w:val="none"/>
        </w:rPr>
        <w:t>主要原因是住房公积金与提租补贴标准提高</w:t>
      </w:r>
      <w:r>
        <w:rPr>
          <w:sz w:val="32"/>
          <w:highlight w:val="none"/>
        </w:rPr>
        <w:t>。</w:t>
      </w:r>
    </w:p>
    <w:p>
      <w:pPr>
        <w:pStyle w:val="15"/>
        <w:keepNext w:val="0"/>
        <w:keepLines w:val="0"/>
        <w:pageBreakBefore w:val="0"/>
        <w:widowControl w:val="0"/>
        <w:numPr>
          <w:numId w:val="0"/>
        </w:numPr>
        <w:tabs>
          <w:tab w:val="decimal" w:pos="420"/>
          <w:tab w:val="left" w:pos="1243"/>
        </w:tabs>
        <w:kinsoku/>
        <w:wordWrap/>
        <w:overflowPunct/>
        <w:topLinePunct w:val="0"/>
        <w:autoSpaceDE w:val="0"/>
        <w:autoSpaceDN w:val="0"/>
        <w:bidi w:val="0"/>
        <w:adjustRightInd w:val="0"/>
        <w:snapToGrid/>
        <w:spacing w:line="240" w:lineRule="auto"/>
        <w:ind w:leftChars="200" w:right="0" w:rightChars="0"/>
        <w:jc w:val="left"/>
        <w:textAlignment w:val="top"/>
        <w:rPr>
          <w:sz w:val="32"/>
          <w:highlight w:val="none"/>
        </w:rPr>
      </w:pPr>
    </w:p>
    <w:p>
      <w:pPr>
        <w:pStyle w:val="15"/>
        <w:keepNext w:val="0"/>
        <w:keepLines w:val="0"/>
        <w:pageBreakBefore w:val="0"/>
        <w:widowControl w:val="0"/>
        <w:numPr>
          <w:ilvl w:val="0"/>
          <w:numId w:val="2"/>
        </w:numPr>
        <w:tabs>
          <w:tab w:val="decimal" w:pos="420"/>
          <w:tab w:val="left" w:pos="1243"/>
          <w:tab w:val="clear" w:pos="312"/>
        </w:tabs>
        <w:kinsoku/>
        <w:wordWrap/>
        <w:overflowPunct/>
        <w:topLinePunct w:val="0"/>
        <w:autoSpaceDE w:val="0"/>
        <w:autoSpaceDN w:val="0"/>
        <w:bidi w:val="0"/>
        <w:adjustRightInd w:val="0"/>
        <w:snapToGrid/>
        <w:spacing w:line="240" w:lineRule="auto"/>
        <w:ind w:left="0" w:leftChars="0" w:right="0" w:rightChars="0" w:firstLine="640" w:firstLineChars="200"/>
        <w:jc w:val="left"/>
        <w:textAlignment w:val="top"/>
        <w:rPr>
          <w:sz w:val="32"/>
          <w:highlight w:val="none"/>
        </w:rPr>
      </w:pPr>
      <w:r>
        <w:rPr>
          <w:rFonts w:hint="eastAsia"/>
          <w:sz w:val="32"/>
          <w:highlight w:val="none"/>
          <w:lang w:val="en-US" w:eastAsia="zh-CN"/>
        </w:rPr>
        <w:t>节能环保（类）支出</w:t>
      </w:r>
      <w:r>
        <w:rPr>
          <w:rFonts w:hint="eastAsia"/>
          <w:sz w:val="32"/>
          <w:highlight w:val="none"/>
          <w:u w:val="single"/>
          <w:lang w:val="en-US" w:eastAsia="zh-CN"/>
        </w:rPr>
        <w:t>50</w:t>
      </w:r>
      <w:r>
        <w:rPr>
          <w:rFonts w:hint="eastAsia"/>
          <w:sz w:val="32"/>
          <w:highlight w:val="none"/>
          <w:lang w:val="en-US" w:eastAsia="zh-CN"/>
        </w:rPr>
        <w:t>万元，主要用于污染防治。与上年相比增加50万元，增加</w:t>
      </w:r>
      <w:r>
        <w:rPr>
          <w:rFonts w:hint="eastAsia"/>
          <w:sz w:val="32"/>
          <w:highlight w:val="none"/>
          <w:u w:val="single"/>
          <w:lang w:val="en-US" w:eastAsia="zh-CN"/>
        </w:rPr>
        <w:t>100</w:t>
      </w:r>
      <w:r>
        <w:rPr>
          <w:rFonts w:hint="eastAsia"/>
          <w:sz w:val="32"/>
          <w:highlight w:val="none"/>
          <w:lang w:val="en-US" w:eastAsia="zh-CN"/>
        </w:rPr>
        <w:t>%。主要原因是办理污染环境案，危险废物处置费（焚烧处置）。</w:t>
      </w:r>
    </w:p>
    <w:p>
      <w:pPr>
        <w:pStyle w:val="15"/>
        <w:keepNext w:val="0"/>
        <w:keepLines w:val="0"/>
        <w:pageBreakBefore w:val="0"/>
        <w:widowControl w:val="0"/>
        <w:numPr>
          <w:numId w:val="0"/>
        </w:numPr>
        <w:tabs>
          <w:tab w:val="decimal" w:pos="420"/>
          <w:tab w:val="left" w:pos="1243"/>
        </w:tabs>
        <w:kinsoku/>
        <w:wordWrap/>
        <w:overflowPunct/>
        <w:topLinePunct w:val="0"/>
        <w:autoSpaceDE w:val="0"/>
        <w:autoSpaceDN w:val="0"/>
        <w:bidi w:val="0"/>
        <w:adjustRightInd w:val="0"/>
        <w:snapToGrid/>
        <w:spacing w:line="240" w:lineRule="auto"/>
        <w:ind w:leftChars="200" w:right="0" w:rightChars="0"/>
        <w:jc w:val="left"/>
        <w:textAlignment w:val="top"/>
        <w:rPr>
          <w:sz w:val="32"/>
          <w:highlight w:val="none"/>
        </w:rPr>
      </w:pPr>
    </w:p>
    <w:p>
      <w:pPr>
        <w:pStyle w:val="15"/>
        <w:keepNext w:val="0"/>
        <w:keepLines w:val="0"/>
        <w:pageBreakBefore w:val="0"/>
        <w:widowControl w:val="0"/>
        <w:numPr>
          <w:ilvl w:val="0"/>
          <w:numId w:val="2"/>
        </w:numPr>
        <w:tabs>
          <w:tab w:val="decimal" w:pos="420"/>
          <w:tab w:val="left" w:pos="1243"/>
          <w:tab w:val="clear" w:pos="312"/>
        </w:tabs>
        <w:kinsoku/>
        <w:wordWrap/>
        <w:overflowPunct/>
        <w:topLinePunct w:val="0"/>
        <w:autoSpaceDE w:val="0"/>
        <w:autoSpaceDN w:val="0"/>
        <w:bidi w:val="0"/>
        <w:adjustRightInd w:val="0"/>
        <w:snapToGrid/>
        <w:spacing w:before="140" w:line="322" w:lineRule="auto"/>
        <w:ind w:left="0" w:leftChars="0" w:right="70" w:rightChars="0" w:firstLine="640" w:firstLineChars="200"/>
        <w:jc w:val="both"/>
        <w:textAlignment w:val="top"/>
        <w:rPr>
          <w:sz w:val="32"/>
          <w:highlight w:val="none"/>
        </w:rPr>
      </w:pPr>
      <w:r>
        <w:rPr>
          <w:sz w:val="32"/>
          <w:highlight w:val="none"/>
        </w:rPr>
        <w:t>结余分配</w:t>
      </w:r>
      <w:r>
        <w:rPr>
          <w:rFonts w:hint="eastAsia"/>
          <w:spacing w:val="3"/>
          <w:sz w:val="32"/>
          <w:highlight w:val="none"/>
          <w:u w:val="single"/>
          <w:lang w:val="en-US" w:eastAsia="zh-CN"/>
        </w:rPr>
        <w:t>0</w:t>
      </w:r>
      <w:r>
        <w:rPr>
          <w:spacing w:val="-3"/>
          <w:sz w:val="32"/>
          <w:highlight w:val="none"/>
        </w:rPr>
        <w:t>万元，为单位当年结余的分配情况</w:t>
      </w:r>
      <w:r>
        <w:rPr>
          <w:rFonts w:hint="eastAsia"/>
          <w:spacing w:val="-3"/>
          <w:sz w:val="32"/>
          <w:highlight w:val="none"/>
          <w:lang w:eastAsia="zh-CN"/>
        </w:rPr>
        <w:t>，</w:t>
      </w:r>
      <w:r>
        <w:rPr>
          <w:w w:val="95"/>
          <w:sz w:val="32"/>
          <w:highlight w:val="none"/>
        </w:rPr>
        <w:t>主要是</w:t>
      </w:r>
      <w:r>
        <w:rPr>
          <w:rFonts w:hint="eastAsia" w:ascii="Times New Roman" w:hAnsi="Times New Roman"/>
          <w:spacing w:val="3"/>
          <w:w w:val="95"/>
          <w:sz w:val="32"/>
          <w:highlight w:val="none"/>
          <w:u w:val="single"/>
          <w:lang w:val="en-US" w:eastAsia="zh-CN"/>
        </w:rPr>
        <w:t>连云港市海州区人民检察院</w:t>
      </w:r>
      <w:r>
        <w:rPr>
          <w:spacing w:val="7"/>
          <w:w w:val="95"/>
          <w:sz w:val="32"/>
          <w:highlight w:val="none"/>
        </w:rPr>
        <w:t>对非财政补助结余按规定计算缴纳的</w:t>
      </w:r>
      <w:r>
        <w:rPr>
          <w:spacing w:val="-21"/>
          <w:sz w:val="32"/>
          <w:highlight w:val="none"/>
        </w:rPr>
        <w:t>企业所得税、提取的职工福利基金等。</w:t>
      </w:r>
      <w:r>
        <w:rPr>
          <w:spacing w:val="7"/>
          <w:w w:val="95"/>
          <w:sz w:val="32"/>
          <w:highlight w:val="none"/>
        </w:rPr>
        <w:t>与上年</w:t>
      </w:r>
      <w:r>
        <w:rPr>
          <w:rFonts w:hint="eastAsia"/>
          <w:spacing w:val="7"/>
          <w:w w:val="95"/>
          <w:sz w:val="32"/>
          <w:highlight w:val="none"/>
          <w:lang w:val="en-US" w:eastAsia="zh-CN"/>
        </w:rPr>
        <w:t>决算数相同</w:t>
      </w:r>
      <w:r>
        <w:rPr>
          <w:sz w:val="32"/>
          <w:highlight w:val="none"/>
        </w:rPr>
        <w:t>。</w:t>
      </w:r>
    </w:p>
    <w:p>
      <w:pPr>
        <w:pStyle w:val="15"/>
        <w:keepNext w:val="0"/>
        <w:keepLines w:val="0"/>
        <w:pageBreakBefore w:val="0"/>
        <w:widowControl w:val="0"/>
        <w:numPr>
          <w:numId w:val="0"/>
        </w:numPr>
        <w:tabs>
          <w:tab w:val="decimal" w:pos="420"/>
          <w:tab w:val="left" w:pos="1243"/>
        </w:tabs>
        <w:kinsoku/>
        <w:wordWrap/>
        <w:overflowPunct/>
        <w:topLinePunct w:val="0"/>
        <w:autoSpaceDE w:val="0"/>
        <w:autoSpaceDN w:val="0"/>
        <w:bidi w:val="0"/>
        <w:adjustRightInd w:val="0"/>
        <w:snapToGrid/>
        <w:spacing w:before="140" w:line="322" w:lineRule="auto"/>
        <w:ind w:leftChars="200" w:right="70" w:rightChars="0"/>
        <w:jc w:val="both"/>
        <w:textAlignment w:val="top"/>
        <w:rPr>
          <w:sz w:val="32"/>
          <w:highlight w:val="none"/>
        </w:rPr>
      </w:pPr>
    </w:p>
    <w:p>
      <w:pPr>
        <w:pStyle w:val="15"/>
        <w:keepNext w:val="0"/>
        <w:keepLines w:val="0"/>
        <w:pageBreakBefore w:val="0"/>
        <w:widowControl w:val="0"/>
        <w:numPr>
          <w:ilvl w:val="0"/>
          <w:numId w:val="0"/>
        </w:numPr>
        <w:tabs>
          <w:tab w:val="left" w:pos="1244"/>
          <w:tab w:val="left" w:pos="4121"/>
        </w:tabs>
        <w:kinsoku/>
        <w:wordWrap/>
        <w:overflowPunct/>
        <w:topLinePunct w:val="0"/>
        <w:autoSpaceDE w:val="0"/>
        <w:autoSpaceDN w:val="0"/>
        <w:bidi w:val="0"/>
        <w:adjustRightInd w:val="0"/>
        <w:snapToGrid/>
        <w:ind w:left="0" w:leftChars="0" w:firstLine="640" w:firstLineChars="200"/>
        <w:jc w:val="left"/>
        <w:textAlignment w:val="auto"/>
        <w:rPr>
          <w:sz w:val="32"/>
          <w:highlight w:val="none"/>
        </w:rPr>
      </w:pPr>
      <w:r>
        <w:rPr>
          <w:rFonts w:hint="eastAsia"/>
          <w:sz w:val="32"/>
          <w:highlight w:val="none"/>
          <w:lang w:val="en-US" w:eastAsia="zh-CN"/>
        </w:rPr>
        <w:t>5.</w:t>
      </w:r>
      <w:r>
        <w:rPr>
          <w:sz w:val="32"/>
          <w:highlight w:val="none"/>
        </w:rPr>
        <w:t>年末结转和结</w:t>
      </w:r>
      <w:r>
        <w:rPr>
          <w:spacing w:val="3"/>
          <w:sz w:val="32"/>
          <w:highlight w:val="none"/>
        </w:rPr>
        <w:t>余</w:t>
      </w:r>
      <w:r>
        <w:rPr>
          <w:rFonts w:hint="eastAsia"/>
          <w:spacing w:val="3"/>
          <w:sz w:val="32"/>
          <w:highlight w:val="none"/>
          <w:u w:val="single"/>
          <w:lang w:val="en-US" w:eastAsia="zh-CN"/>
        </w:rPr>
        <w:t>368.31</w:t>
      </w:r>
      <w:r>
        <w:rPr>
          <w:sz w:val="32"/>
          <w:highlight w:val="none"/>
        </w:rPr>
        <w:t>万元，主要</w:t>
      </w:r>
      <w:r>
        <w:rPr>
          <w:spacing w:val="3"/>
          <w:sz w:val="32"/>
          <w:highlight w:val="none"/>
        </w:rPr>
        <w:t>为</w:t>
      </w:r>
      <w:r>
        <w:rPr>
          <w:rFonts w:hint="eastAsia" w:ascii="Times New Roman"/>
          <w:sz w:val="32"/>
          <w:highlight w:val="none"/>
          <w:u w:val="single"/>
          <w:lang w:val="en-US" w:eastAsia="zh-CN"/>
        </w:rPr>
        <w:t>连云港市海州区人民检察院</w:t>
      </w:r>
      <w:r>
        <w:rPr>
          <w:sz w:val="32"/>
          <w:highlight w:val="none"/>
        </w:rPr>
        <w:t>本年度（或以前年度）预算安排的</w:t>
      </w:r>
      <w:r>
        <w:rPr>
          <w:rFonts w:hint="eastAsia"/>
          <w:sz w:val="32"/>
          <w:highlight w:val="none"/>
          <w:u w:val="single"/>
          <w:lang w:val="en-US" w:eastAsia="zh-CN"/>
        </w:rPr>
        <w:t>政法转移支付资金</w:t>
      </w:r>
      <w:r>
        <w:rPr>
          <w:sz w:val="32"/>
          <w:highlight w:val="none"/>
        </w:rPr>
        <w:t>无法按原计划实施，需要延迟到以后年度按有关规定使用的资金。</w:t>
      </w:r>
    </w:p>
    <w:p>
      <w:pPr>
        <w:pStyle w:val="15"/>
        <w:keepNext w:val="0"/>
        <w:keepLines w:val="0"/>
        <w:pageBreakBefore w:val="0"/>
        <w:widowControl w:val="0"/>
        <w:numPr>
          <w:ilvl w:val="0"/>
          <w:numId w:val="0"/>
        </w:numPr>
        <w:tabs>
          <w:tab w:val="left" w:pos="1244"/>
          <w:tab w:val="left" w:pos="4121"/>
        </w:tabs>
        <w:kinsoku/>
        <w:wordWrap/>
        <w:overflowPunct/>
        <w:topLinePunct w:val="0"/>
        <w:autoSpaceDE w:val="0"/>
        <w:autoSpaceDN w:val="0"/>
        <w:bidi w:val="0"/>
        <w:adjustRightInd/>
        <w:snapToGrid/>
        <w:ind w:leftChars="0" w:firstLine="640" w:firstLineChars="200"/>
        <w:jc w:val="left"/>
        <w:textAlignment w:val="auto"/>
        <w:rPr>
          <w:sz w:val="32"/>
          <w:highlight w:val="none"/>
        </w:rPr>
      </w:pPr>
    </w:p>
    <w:p>
      <w:pPr>
        <w:pStyle w:val="2"/>
        <w:keepNext w:val="0"/>
        <w:keepLines w:val="0"/>
        <w:pageBreakBefore w:val="0"/>
        <w:widowControl w:val="0"/>
        <w:kinsoku/>
        <w:wordWrap/>
        <w:overflowPunct/>
        <w:topLinePunct w:val="0"/>
        <w:autoSpaceDE w:val="0"/>
        <w:autoSpaceDN w:val="0"/>
        <w:bidi w:val="0"/>
        <w:adjustRightInd/>
        <w:snapToGrid/>
        <w:spacing w:before="1"/>
        <w:ind w:left="761"/>
        <w:jc w:val="left"/>
        <w:textAlignment w:val="auto"/>
        <w:rPr>
          <w:highlight w:val="none"/>
        </w:rPr>
      </w:pPr>
      <w:r>
        <w:rPr>
          <w:highlight w:val="none"/>
        </w:rPr>
        <w:t>二、收入决算情况说明</w:t>
      </w:r>
    </w:p>
    <w:p>
      <w:pPr>
        <w:pStyle w:val="2"/>
        <w:keepNext w:val="0"/>
        <w:keepLines w:val="0"/>
        <w:pageBreakBefore w:val="0"/>
        <w:widowControl w:val="0"/>
        <w:tabs>
          <w:tab w:val="left" w:pos="758"/>
          <w:tab w:val="left" w:pos="2928"/>
          <w:tab w:val="left" w:pos="4104"/>
          <w:tab w:val="left" w:pos="4673"/>
          <w:tab w:val="left" w:pos="7467"/>
        </w:tabs>
        <w:kinsoku/>
        <w:wordWrap/>
        <w:overflowPunct/>
        <w:topLinePunct w:val="0"/>
        <w:autoSpaceDE w:val="0"/>
        <w:autoSpaceDN w:val="0"/>
        <w:bidi w:val="0"/>
        <w:adjustRightInd/>
        <w:snapToGrid/>
        <w:spacing w:before="142" w:line="316" w:lineRule="auto"/>
        <w:ind w:left="120" w:right="275" w:firstLine="640"/>
        <w:jc w:val="left"/>
        <w:textAlignment w:val="auto"/>
        <w:rPr>
          <w:sz w:val="33"/>
          <w:highlight w:val="none"/>
        </w:rPr>
      </w:pPr>
      <w:r>
        <w:rPr>
          <w:highlight w:val="none"/>
        </w:rPr>
        <w:drawing>
          <wp:anchor distT="0" distB="0" distL="114300" distR="114300" simplePos="0" relativeHeight="251660288" behindDoc="1" locked="0" layoutInCell="1" allowOverlap="1">
            <wp:simplePos x="0" y="0"/>
            <wp:positionH relativeFrom="column">
              <wp:posOffset>146685</wp:posOffset>
            </wp:positionH>
            <wp:positionV relativeFrom="paragraph">
              <wp:posOffset>1807845</wp:posOffset>
            </wp:positionV>
            <wp:extent cx="5295900" cy="3816985"/>
            <wp:effectExtent l="4445" t="4445" r="14605" b="7620"/>
            <wp:wrapTight wrapText="bothSides">
              <wp:wrapPolygon>
                <wp:start x="-18" y="-25"/>
                <wp:lineTo x="-18" y="21535"/>
                <wp:lineTo x="21582" y="21535"/>
                <wp:lineTo x="21582" y="-25"/>
                <wp:lineTo x="-18" y="-25"/>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Times New Roman"/>
          <w:highlight w:val="none"/>
          <w:u w:val="single"/>
          <w:lang w:eastAsia="zh-CN"/>
        </w:rPr>
        <w:t>连云港市海州区人民检察院</w:t>
      </w:r>
      <w:r>
        <w:rPr>
          <w:highlight w:val="none"/>
        </w:rPr>
        <w:t>本年收入合</w:t>
      </w:r>
      <w:r>
        <w:rPr>
          <w:spacing w:val="3"/>
          <w:highlight w:val="none"/>
        </w:rPr>
        <w:t>计</w:t>
      </w:r>
      <w:r>
        <w:rPr>
          <w:spacing w:val="3"/>
          <w:highlight w:val="none"/>
          <w:u w:val="single"/>
        </w:rPr>
        <w:t xml:space="preserve"> </w:t>
      </w:r>
      <w:r>
        <w:rPr>
          <w:rFonts w:hint="eastAsia"/>
          <w:spacing w:val="3"/>
          <w:highlight w:val="none"/>
          <w:u w:val="single"/>
          <w:lang w:val="en-US" w:eastAsia="zh-CN"/>
        </w:rPr>
        <w:t>4713.8</w:t>
      </w:r>
      <w:r>
        <w:rPr>
          <w:highlight w:val="none"/>
        </w:rPr>
        <w:t>万元，其中：财政拨款收</w:t>
      </w:r>
      <w:r>
        <w:rPr>
          <w:spacing w:val="4"/>
          <w:highlight w:val="none"/>
        </w:rPr>
        <w:t>入</w:t>
      </w:r>
      <w:r>
        <w:rPr>
          <w:rFonts w:hint="eastAsia"/>
          <w:spacing w:val="-3"/>
          <w:highlight w:val="none"/>
          <w:u w:val="single"/>
          <w:lang w:val="en-US" w:eastAsia="zh-CN"/>
        </w:rPr>
        <w:t>4713.8</w:t>
      </w:r>
      <w:r>
        <w:rPr>
          <w:highlight w:val="none"/>
        </w:rPr>
        <w:t>万</w:t>
      </w:r>
      <w:r>
        <w:rPr>
          <w:spacing w:val="4"/>
          <w:highlight w:val="none"/>
        </w:rPr>
        <w:t>元，</w:t>
      </w:r>
      <w:r>
        <w:rPr>
          <w:spacing w:val="7"/>
          <w:highlight w:val="none"/>
        </w:rPr>
        <w:t>占</w:t>
      </w:r>
      <w:r>
        <w:rPr>
          <w:rFonts w:hint="eastAsia"/>
          <w:spacing w:val="-6"/>
          <w:highlight w:val="none"/>
          <w:u w:val="single"/>
          <w:lang w:val="en-US" w:eastAsia="zh-CN"/>
        </w:rPr>
        <w:t>100</w:t>
      </w:r>
      <w:r>
        <w:rPr>
          <w:rFonts w:ascii="Times New Roman" w:eastAsia="Times New Roman"/>
          <w:spacing w:val="3"/>
          <w:highlight w:val="none"/>
        </w:rPr>
        <w:t>%</w:t>
      </w:r>
      <w:r>
        <w:rPr>
          <w:spacing w:val="3"/>
          <w:highlight w:val="none"/>
        </w:rPr>
        <w:t>；</w:t>
      </w:r>
      <w:r>
        <w:rPr>
          <w:spacing w:val="4"/>
          <w:highlight w:val="none"/>
        </w:rPr>
        <w:t>上级补助收</w:t>
      </w:r>
      <w:r>
        <w:rPr>
          <w:spacing w:val="7"/>
          <w:highlight w:val="none"/>
        </w:rPr>
        <w:t>入</w:t>
      </w:r>
      <w:r>
        <w:rPr>
          <w:rFonts w:hint="eastAsia"/>
          <w:spacing w:val="7"/>
          <w:highlight w:val="none"/>
          <w:u w:val="single"/>
          <w:lang w:val="en-US" w:eastAsia="zh-CN"/>
        </w:rPr>
        <w:t>0</w:t>
      </w:r>
      <w:r>
        <w:rPr>
          <w:spacing w:val="4"/>
          <w:highlight w:val="none"/>
        </w:rPr>
        <w:t>万元，</w:t>
      </w:r>
      <w:r>
        <w:rPr>
          <w:spacing w:val="7"/>
          <w:highlight w:val="none"/>
        </w:rPr>
        <w:t>占</w:t>
      </w:r>
      <w:r>
        <w:rPr>
          <w:rFonts w:hint="eastAsia"/>
          <w:spacing w:val="-7"/>
          <w:highlight w:val="none"/>
          <w:u w:val="single"/>
          <w:lang w:val="en-US" w:eastAsia="zh-CN"/>
        </w:rPr>
        <w:t>0</w:t>
      </w:r>
      <w:r>
        <w:rPr>
          <w:rFonts w:ascii="Times New Roman" w:eastAsia="Times New Roman"/>
          <w:spacing w:val="3"/>
          <w:highlight w:val="none"/>
        </w:rPr>
        <w:t>%</w:t>
      </w:r>
      <w:r>
        <w:rPr>
          <w:spacing w:val="3"/>
          <w:highlight w:val="none"/>
        </w:rPr>
        <w:t>；</w:t>
      </w:r>
      <w:r>
        <w:rPr>
          <w:spacing w:val="4"/>
          <w:highlight w:val="none"/>
        </w:rPr>
        <w:t>事业收</w:t>
      </w:r>
      <w:r>
        <w:rPr>
          <w:spacing w:val="7"/>
          <w:highlight w:val="none"/>
        </w:rPr>
        <w:t>入</w:t>
      </w:r>
      <w:r>
        <w:rPr>
          <w:rFonts w:hint="eastAsia"/>
          <w:spacing w:val="-5"/>
          <w:highlight w:val="none"/>
          <w:u w:val="single"/>
          <w:lang w:val="en-US" w:eastAsia="zh-CN"/>
        </w:rPr>
        <w:t>0</w:t>
      </w:r>
      <w:r>
        <w:rPr>
          <w:spacing w:val="4"/>
          <w:highlight w:val="none"/>
        </w:rPr>
        <w:t>万</w:t>
      </w:r>
      <w:r>
        <w:rPr>
          <w:spacing w:val="7"/>
          <w:highlight w:val="none"/>
        </w:rPr>
        <w:t>元</w:t>
      </w:r>
      <w:r>
        <w:rPr>
          <w:highlight w:val="none"/>
        </w:rPr>
        <w:t>， 占</w:t>
      </w:r>
      <w:r>
        <w:rPr>
          <w:rFonts w:hint="eastAsia"/>
          <w:highlight w:val="none"/>
          <w:u w:val="single"/>
          <w:lang w:val="en-US" w:eastAsia="zh-CN"/>
        </w:rPr>
        <w:t>0</w:t>
      </w:r>
      <w:r>
        <w:rPr>
          <w:rFonts w:ascii="Times New Roman" w:eastAsia="Times New Roman"/>
          <w:spacing w:val="-64"/>
          <w:highlight w:val="none"/>
        </w:rPr>
        <w:t>%</w:t>
      </w:r>
      <w:r>
        <w:rPr>
          <w:spacing w:val="-64"/>
          <w:highlight w:val="none"/>
        </w:rPr>
        <w:t>；</w:t>
      </w:r>
      <w:r>
        <w:rPr>
          <w:highlight w:val="none"/>
        </w:rPr>
        <w:t>经营收入</w:t>
      </w:r>
      <w:r>
        <w:rPr>
          <w:rFonts w:hint="eastAsia"/>
          <w:spacing w:val="-1"/>
          <w:highlight w:val="none"/>
          <w:u w:val="single"/>
          <w:lang w:val="en-US" w:eastAsia="zh-CN"/>
        </w:rPr>
        <w:t>0</w:t>
      </w:r>
      <w:r>
        <w:rPr>
          <w:highlight w:val="none"/>
        </w:rPr>
        <w:t>万元</w:t>
      </w:r>
      <w:r>
        <w:rPr>
          <w:spacing w:val="-130"/>
          <w:highlight w:val="none"/>
        </w:rPr>
        <w:t>，</w:t>
      </w:r>
      <w:r>
        <w:rPr>
          <w:highlight w:val="none"/>
        </w:rPr>
        <w:t>占</w:t>
      </w:r>
      <w:r>
        <w:rPr>
          <w:rFonts w:hint="eastAsia"/>
          <w:highlight w:val="none"/>
          <w:u w:val="single"/>
          <w:lang w:val="en-US" w:eastAsia="zh-CN"/>
        </w:rPr>
        <w:t>0</w:t>
      </w:r>
      <w:r>
        <w:rPr>
          <w:rFonts w:ascii="Times New Roman" w:eastAsia="Times New Roman"/>
          <w:spacing w:val="-64"/>
          <w:highlight w:val="none"/>
        </w:rPr>
        <w:t>%</w:t>
      </w:r>
      <w:r>
        <w:rPr>
          <w:spacing w:val="-64"/>
          <w:highlight w:val="none"/>
        </w:rPr>
        <w:t>；</w:t>
      </w:r>
      <w:r>
        <w:rPr>
          <w:highlight w:val="none"/>
        </w:rPr>
        <w:t>附属单位上缴收</w:t>
      </w:r>
      <w:r>
        <w:rPr>
          <w:spacing w:val="3"/>
          <w:highlight w:val="none"/>
        </w:rPr>
        <w:t>入</w:t>
      </w:r>
      <w:r>
        <w:rPr>
          <w:rFonts w:hint="eastAsia"/>
          <w:spacing w:val="3"/>
          <w:highlight w:val="none"/>
          <w:u w:val="single"/>
          <w:lang w:val="en-US" w:eastAsia="zh-CN"/>
        </w:rPr>
        <w:t>0</w:t>
      </w:r>
      <w:r>
        <w:rPr>
          <w:highlight w:val="none"/>
        </w:rPr>
        <w:t>万元， 占</w:t>
      </w:r>
      <w:r>
        <w:rPr>
          <w:rFonts w:hint="eastAsia"/>
          <w:highlight w:val="none"/>
          <w:u w:val="single"/>
          <w:lang w:val="en-US" w:eastAsia="zh-CN"/>
        </w:rPr>
        <w:t>0</w:t>
      </w:r>
      <w:r>
        <w:rPr>
          <w:rFonts w:ascii="Times New Roman" w:eastAsia="Times New Roman"/>
          <w:spacing w:val="-8"/>
          <w:highlight w:val="none"/>
        </w:rPr>
        <w:t>%</w:t>
      </w:r>
      <w:r>
        <w:rPr>
          <w:spacing w:val="-8"/>
          <w:highlight w:val="none"/>
        </w:rPr>
        <w:t>；</w:t>
      </w:r>
      <w:r>
        <w:rPr>
          <w:highlight w:val="none"/>
        </w:rPr>
        <w:t>其他收</w:t>
      </w:r>
      <w:r>
        <w:rPr>
          <w:spacing w:val="3"/>
          <w:highlight w:val="none"/>
        </w:rPr>
        <w:t>入</w:t>
      </w:r>
      <w:r>
        <w:rPr>
          <w:rFonts w:hint="eastAsia"/>
          <w:spacing w:val="3"/>
          <w:highlight w:val="none"/>
          <w:u w:val="single"/>
          <w:lang w:val="en-US" w:eastAsia="zh-CN"/>
        </w:rPr>
        <w:t>0</w:t>
      </w:r>
      <w:r>
        <w:rPr>
          <w:highlight w:val="none"/>
        </w:rPr>
        <w:t>万元</w:t>
      </w:r>
      <w:r>
        <w:rPr>
          <w:spacing w:val="-17"/>
          <w:highlight w:val="none"/>
        </w:rPr>
        <w:t>，</w:t>
      </w:r>
      <w:r>
        <w:rPr>
          <w:highlight w:val="none"/>
        </w:rPr>
        <w:t>占</w:t>
      </w:r>
      <w:r>
        <w:rPr>
          <w:rFonts w:hint="eastAsia"/>
          <w:highlight w:val="none"/>
          <w:u w:val="single"/>
          <w:lang w:val="en-US" w:eastAsia="zh-CN"/>
        </w:rPr>
        <w:t>0</w:t>
      </w:r>
      <w:r>
        <w:rPr>
          <w:rFonts w:ascii="Times New Roman" w:eastAsia="Times New Roman"/>
          <w:highlight w:val="none"/>
        </w:rPr>
        <w:t>%</w:t>
      </w:r>
      <w:r>
        <w:rPr>
          <w:spacing w:val="-32"/>
          <w:highlight w:val="none"/>
        </w:rPr>
        <w:t>。</w:t>
      </w:r>
      <w:r>
        <w:rPr>
          <w:sz w:val="33"/>
          <w:highlight w:val="none"/>
        </w:rPr>
        <w:t>（可用饼图显示本年收入结构图）</w:t>
      </w:r>
    </w:p>
    <w:p>
      <w:pPr>
        <w:pStyle w:val="2"/>
        <w:tabs>
          <w:tab w:val="left" w:pos="758"/>
          <w:tab w:val="left" w:pos="2928"/>
          <w:tab w:val="left" w:pos="4104"/>
          <w:tab w:val="left" w:pos="4673"/>
          <w:tab w:val="left" w:pos="7467"/>
        </w:tabs>
        <w:spacing w:before="142" w:line="316" w:lineRule="auto"/>
        <w:ind w:left="120" w:right="275" w:firstLine="640"/>
        <w:jc w:val="center"/>
        <w:rPr>
          <w:rFonts w:hint="eastAsia"/>
          <w:sz w:val="33"/>
          <w:highlight w:val="none"/>
          <w:lang w:eastAsia="zh-CN"/>
        </w:rPr>
      </w:pPr>
    </w:p>
    <w:p>
      <w:pPr>
        <w:pStyle w:val="2"/>
        <w:spacing w:before="8"/>
        <w:ind w:left="3073"/>
        <w:rPr>
          <w:highlight w:val="none"/>
        </w:rPr>
      </w:pPr>
      <w:r>
        <w:rPr>
          <w:highlight w:val="none"/>
        </w:rPr>
        <w:t>图</w:t>
      </w:r>
      <w:r>
        <w:rPr>
          <w:rFonts w:ascii="Times New Roman" w:eastAsia="Times New Roman"/>
          <w:highlight w:val="none"/>
        </w:rPr>
        <w:t>1</w:t>
      </w:r>
      <w:r>
        <w:rPr>
          <w:highlight w:val="none"/>
        </w:rPr>
        <w:t>：收入决算图</w:t>
      </w:r>
    </w:p>
    <w:p>
      <w:pPr>
        <w:pStyle w:val="15"/>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140" w:line="321" w:lineRule="auto"/>
        <w:ind w:left="529" w:leftChars="0" w:right="437" w:rightChars="0"/>
        <w:jc w:val="left"/>
        <w:textAlignment w:val="auto"/>
        <w:rPr>
          <w:sz w:val="32"/>
          <w:highlight w:val="none"/>
        </w:rPr>
      </w:pPr>
    </w:p>
    <w:p>
      <w:pPr>
        <w:pStyle w:val="15"/>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10" w:line="321" w:lineRule="auto"/>
        <w:ind w:left="660" w:leftChars="0" w:right="438" w:rightChars="0"/>
        <w:jc w:val="left"/>
        <w:textAlignment w:val="auto"/>
        <w:rPr>
          <w:sz w:val="32"/>
          <w:highlight w:val="none"/>
        </w:rPr>
      </w:pPr>
    </w:p>
    <w:p>
      <w:pPr>
        <w:pStyle w:val="15"/>
        <w:keepNext w:val="0"/>
        <w:keepLines w:val="0"/>
        <w:pageBreakBefore w:val="0"/>
        <w:widowControl w:val="0"/>
        <w:numPr>
          <w:ilvl w:val="0"/>
          <w:numId w:val="0"/>
        </w:numPr>
        <w:kinsoku/>
        <w:wordWrap/>
        <w:overflowPunct/>
        <w:topLinePunct w:val="0"/>
        <w:autoSpaceDE w:val="0"/>
        <w:autoSpaceDN w:val="0"/>
        <w:bidi w:val="0"/>
        <w:adjustRightInd/>
        <w:snapToGrid/>
        <w:spacing w:before="3" w:line="321" w:lineRule="auto"/>
        <w:ind w:right="434" w:rightChars="0"/>
        <w:jc w:val="left"/>
        <w:textAlignment w:val="auto"/>
        <w:rPr>
          <w:sz w:val="32"/>
          <w:highlight w:val="none"/>
        </w:rPr>
      </w:pPr>
    </w:p>
    <w:p>
      <w:pPr>
        <w:pStyle w:val="15"/>
        <w:keepNext w:val="0"/>
        <w:keepLines w:val="0"/>
        <w:pageBreakBefore w:val="0"/>
        <w:widowControl w:val="0"/>
        <w:numPr>
          <w:ilvl w:val="0"/>
          <w:numId w:val="0"/>
        </w:numPr>
        <w:kinsoku/>
        <w:wordWrap/>
        <w:overflowPunct/>
        <w:topLinePunct w:val="0"/>
        <w:autoSpaceDE w:val="0"/>
        <w:autoSpaceDN w:val="0"/>
        <w:bidi w:val="0"/>
        <w:adjustRightInd/>
        <w:snapToGrid/>
        <w:spacing w:before="3" w:line="321" w:lineRule="auto"/>
        <w:ind w:right="434" w:rightChars="0"/>
        <w:jc w:val="left"/>
        <w:textAlignment w:val="auto"/>
        <w:rPr>
          <w:sz w:val="32"/>
          <w:highlight w:val="none"/>
        </w:rPr>
        <w:sectPr>
          <w:pgSz w:w="11910" w:h="16840"/>
          <w:pgMar w:top="1500" w:right="1360" w:bottom="280" w:left="1680" w:header="720" w:footer="720" w:gutter="0"/>
          <w:cols w:space="720" w:num="1"/>
        </w:sectPr>
      </w:pPr>
    </w:p>
    <w:p>
      <w:pPr>
        <w:pStyle w:val="2"/>
        <w:rPr>
          <w:sz w:val="54"/>
          <w:highlight w:val="none"/>
        </w:rPr>
      </w:pPr>
    </w:p>
    <w:p>
      <w:pPr>
        <w:pStyle w:val="2"/>
        <w:ind w:left="761"/>
        <w:rPr>
          <w:highlight w:val="none"/>
        </w:rPr>
      </w:pPr>
      <w:r>
        <w:rPr>
          <w:highlight w:val="none"/>
        </w:rPr>
        <w:t>三、支出决算情况说明</w:t>
      </w:r>
    </w:p>
    <w:p>
      <w:pPr>
        <w:pStyle w:val="2"/>
        <w:tabs>
          <w:tab w:val="left" w:pos="1557"/>
          <w:tab w:val="left" w:pos="4066"/>
          <w:tab w:val="left" w:pos="4104"/>
          <w:tab w:val="left" w:pos="5667"/>
          <w:tab w:val="left" w:pos="6466"/>
          <w:tab w:val="left" w:pos="7785"/>
          <w:tab w:val="left" w:pos="7854"/>
        </w:tabs>
        <w:spacing w:before="140" w:line="316" w:lineRule="auto"/>
        <w:ind w:left="120" w:right="530" w:firstLine="640"/>
        <w:rPr>
          <w:sz w:val="33"/>
          <w:highlight w:val="none"/>
        </w:rPr>
      </w:pPr>
      <w:r>
        <w:rPr>
          <w:highlight w:val="none"/>
        </w:rPr>
        <w:drawing>
          <wp:anchor distT="0" distB="0" distL="114300" distR="114300" simplePos="0" relativeHeight="251659264" behindDoc="0" locked="0" layoutInCell="1" allowOverlap="1">
            <wp:simplePos x="0" y="0"/>
            <wp:positionH relativeFrom="column">
              <wp:posOffset>153670</wp:posOffset>
            </wp:positionH>
            <wp:positionV relativeFrom="paragraph">
              <wp:posOffset>1685925</wp:posOffset>
            </wp:positionV>
            <wp:extent cx="5078095" cy="3493135"/>
            <wp:effectExtent l="4445" t="4445" r="22860" b="7620"/>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Times New Roman"/>
          <w:highlight w:val="none"/>
          <w:u w:val="single"/>
          <w:lang w:eastAsia="zh-CN"/>
        </w:rPr>
        <w:t>连云港市海州区人民检察院</w:t>
      </w:r>
      <w:r>
        <w:rPr>
          <w:highlight w:val="none"/>
        </w:rPr>
        <w:t>本年支出合</w:t>
      </w:r>
      <w:r>
        <w:rPr>
          <w:spacing w:val="3"/>
          <w:highlight w:val="none"/>
        </w:rPr>
        <w:t>计</w:t>
      </w:r>
      <w:r>
        <w:rPr>
          <w:rFonts w:hint="eastAsia"/>
          <w:spacing w:val="3"/>
          <w:highlight w:val="none"/>
          <w:u w:val="single"/>
          <w:lang w:val="en-US" w:eastAsia="zh-CN"/>
        </w:rPr>
        <w:t>4530.02</w:t>
      </w:r>
      <w:r>
        <w:rPr>
          <w:highlight w:val="none"/>
        </w:rPr>
        <w:t>万元，其中：基本支</w:t>
      </w:r>
      <w:r>
        <w:rPr>
          <w:spacing w:val="3"/>
          <w:highlight w:val="none"/>
        </w:rPr>
        <w:t>出</w:t>
      </w:r>
      <w:r>
        <w:rPr>
          <w:spacing w:val="3"/>
          <w:highlight w:val="none"/>
          <w:u w:val="single"/>
        </w:rPr>
        <w:t xml:space="preserve"> </w:t>
      </w:r>
      <w:r>
        <w:rPr>
          <w:rFonts w:hint="eastAsia"/>
          <w:spacing w:val="3"/>
          <w:highlight w:val="none"/>
          <w:u w:val="single"/>
          <w:lang w:val="en-US" w:eastAsia="zh-CN"/>
        </w:rPr>
        <w:t>4530.02</w:t>
      </w:r>
      <w:r>
        <w:rPr>
          <w:highlight w:val="none"/>
        </w:rPr>
        <w:t>万元，占</w:t>
      </w:r>
      <w:r>
        <w:rPr>
          <w:rFonts w:hint="eastAsia"/>
          <w:highlight w:val="none"/>
          <w:u w:val="single"/>
          <w:lang w:val="en-US" w:eastAsia="zh-CN"/>
        </w:rPr>
        <w:t>100</w:t>
      </w:r>
      <w:r>
        <w:rPr>
          <w:rFonts w:ascii="Times New Roman" w:eastAsia="Times New Roman"/>
          <w:highlight w:val="none"/>
        </w:rPr>
        <w:t>%</w:t>
      </w:r>
      <w:r>
        <w:rPr>
          <w:highlight w:val="none"/>
        </w:rPr>
        <w:t>；项目支</w:t>
      </w:r>
      <w:r>
        <w:rPr>
          <w:spacing w:val="3"/>
          <w:highlight w:val="none"/>
        </w:rPr>
        <w:t>出</w:t>
      </w:r>
      <w:r>
        <w:rPr>
          <w:rFonts w:hint="eastAsia"/>
          <w:spacing w:val="3"/>
          <w:highlight w:val="none"/>
          <w:u w:val="single"/>
          <w:lang w:val="en-US" w:eastAsia="zh-CN"/>
        </w:rPr>
        <w:t>0</w:t>
      </w:r>
      <w:r>
        <w:rPr>
          <w:highlight w:val="none"/>
        </w:rPr>
        <w:t>万元，</w:t>
      </w:r>
      <w:r>
        <w:rPr>
          <w:spacing w:val="3"/>
          <w:highlight w:val="none"/>
        </w:rPr>
        <w:t>占</w:t>
      </w:r>
      <w:r>
        <w:rPr>
          <w:spacing w:val="3"/>
          <w:highlight w:val="none"/>
          <w:u w:val="single"/>
        </w:rPr>
        <w:t xml:space="preserve"> </w:t>
      </w:r>
      <w:r>
        <w:rPr>
          <w:rFonts w:hint="eastAsia"/>
          <w:spacing w:val="3"/>
          <w:highlight w:val="none"/>
          <w:u w:val="single"/>
          <w:lang w:val="en-US" w:eastAsia="zh-CN"/>
        </w:rPr>
        <w:t>0</w:t>
      </w:r>
      <w:r>
        <w:rPr>
          <w:rFonts w:ascii="Times New Roman" w:eastAsia="Times New Roman"/>
          <w:highlight w:val="none"/>
        </w:rPr>
        <w:t>%</w:t>
      </w:r>
      <w:r>
        <w:rPr>
          <w:highlight w:val="none"/>
        </w:rPr>
        <w:t>；经营支</w:t>
      </w:r>
      <w:r>
        <w:rPr>
          <w:spacing w:val="3"/>
          <w:highlight w:val="none"/>
        </w:rPr>
        <w:t>出</w:t>
      </w:r>
      <w:r>
        <w:rPr>
          <w:rFonts w:hint="eastAsia"/>
          <w:spacing w:val="3"/>
          <w:highlight w:val="none"/>
          <w:u w:val="single"/>
          <w:lang w:val="en-US" w:eastAsia="zh-CN"/>
        </w:rPr>
        <w:t>0</w:t>
      </w:r>
      <w:r>
        <w:rPr>
          <w:highlight w:val="none"/>
        </w:rPr>
        <w:t>万元，占</w:t>
      </w:r>
      <w:r>
        <w:rPr>
          <w:rFonts w:hint="eastAsia"/>
          <w:spacing w:val="-3"/>
          <w:highlight w:val="none"/>
          <w:u w:val="single"/>
          <w:lang w:val="en-US" w:eastAsia="zh-CN"/>
        </w:rPr>
        <w:t>0</w:t>
      </w:r>
      <w:r>
        <w:rPr>
          <w:rFonts w:ascii="Times New Roman" w:eastAsia="Times New Roman"/>
          <w:highlight w:val="none"/>
        </w:rPr>
        <w:t>%</w:t>
      </w:r>
      <w:r>
        <w:rPr>
          <w:highlight w:val="none"/>
        </w:rPr>
        <w:t>；对附属单位补助支</w:t>
      </w:r>
      <w:r>
        <w:rPr>
          <w:spacing w:val="3"/>
          <w:highlight w:val="none"/>
        </w:rPr>
        <w:t>出</w:t>
      </w:r>
      <w:r>
        <w:rPr>
          <w:rFonts w:hint="eastAsia"/>
          <w:spacing w:val="-1"/>
          <w:highlight w:val="none"/>
          <w:u w:val="single"/>
          <w:lang w:val="en-US" w:eastAsia="zh-CN"/>
        </w:rPr>
        <w:t>0</w:t>
      </w:r>
      <w:r>
        <w:rPr>
          <w:highlight w:val="none"/>
        </w:rPr>
        <w:t>万元，占</w:t>
      </w:r>
      <w:r>
        <w:rPr>
          <w:highlight w:val="none"/>
          <w:u w:val="single"/>
        </w:rPr>
        <w:t xml:space="preserve"> </w:t>
      </w:r>
      <w:r>
        <w:rPr>
          <w:rFonts w:hint="eastAsia"/>
          <w:highlight w:val="none"/>
          <w:u w:val="single"/>
          <w:lang w:val="en-US" w:eastAsia="zh-CN"/>
        </w:rPr>
        <w:t>0</w:t>
      </w:r>
      <w:r>
        <w:rPr>
          <w:rFonts w:ascii="Times New Roman" w:eastAsia="Times New Roman"/>
          <w:w w:val="95"/>
          <w:highlight w:val="none"/>
        </w:rPr>
        <w:t>%</w:t>
      </w:r>
      <w:r>
        <w:rPr>
          <w:w w:val="95"/>
          <w:highlight w:val="none"/>
        </w:rPr>
        <w:t>。</w:t>
      </w:r>
      <w:r>
        <w:rPr>
          <w:w w:val="95"/>
          <w:sz w:val="33"/>
          <w:highlight w:val="none"/>
        </w:rPr>
        <w:t>（可用</w:t>
      </w:r>
      <w:r>
        <w:rPr>
          <w:spacing w:val="-16"/>
          <w:w w:val="95"/>
          <w:sz w:val="33"/>
          <w:highlight w:val="none"/>
        </w:rPr>
        <w:t>饼</w:t>
      </w:r>
      <w:r>
        <w:rPr>
          <w:sz w:val="33"/>
          <w:highlight w:val="none"/>
        </w:rPr>
        <w:t>图显示本年支出结构图）</w:t>
      </w:r>
    </w:p>
    <w:p>
      <w:pPr>
        <w:pStyle w:val="2"/>
        <w:tabs>
          <w:tab w:val="left" w:pos="1557"/>
          <w:tab w:val="left" w:pos="4066"/>
          <w:tab w:val="left" w:pos="4104"/>
          <w:tab w:val="left" w:pos="5667"/>
          <w:tab w:val="left" w:pos="6466"/>
          <w:tab w:val="left" w:pos="7785"/>
          <w:tab w:val="left" w:pos="7854"/>
        </w:tabs>
        <w:spacing w:before="140" w:line="316" w:lineRule="auto"/>
        <w:ind w:left="120" w:right="530" w:firstLine="640"/>
        <w:rPr>
          <w:sz w:val="33"/>
          <w:highlight w:val="none"/>
        </w:rPr>
      </w:pPr>
    </w:p>
    <w:p>
      <w:pPr>
        <w:pStyle w:val="2"/>
        <w:tabs>
          <w:tab w:val="left" w:pos="1557"/>
          <w:tab w:val="left" w:pos="4066"/>
          <w:tab w:val="left" w:pos="4104"/>
          <w:tab w:val="left" w:pos="5667"/>
          <w:tab w:val="left" w:pos="6466"/>
          <w:tab w:val="left" w:pos="7785"/>
          <w:tab w:val="left" w:pos="7854"/>
        </w:tabs>
        <w:spacing w:before="140" w:line="316" w:lineRule="auto"/>
        <w:ind w:left="120" w:right="530" w:firstLine="640"/>
        <w:rPr>
          <w:sz w:val="33"/>
          <w:highlight w:val="none"/>
        </w:rPr>
      </w:pPr>
    </w:p>
    <w:p>
      <w:pPr>
        <w:pStyle w:val="2"/>
        <w:tabs>
          <w:tab w:val="left" w:pos="1557"/>
          <w:tab w:val="left" w:pos="4066"/>
          <w:tab w:val="left" w:pos="4104"/>
          <w:tab w:val="left" w:pos="5667"/>
          <w:tab w:val="left" w:pos="6466"/>
          <w:tab w:val="left" w:pos="7785"/>
          <w:tab w:val="left" w:pos="7854"/>
        </w:tabs>
        <w:spacing w:before="140" w:line="316" w:lineRule="auto"/>
        <w:ind w:left="120" w:right="530" w:firstLine="640"/>
        <w:rPr>
          <w:sz w:val="33"/>
          <w:highlight w:val="none"/>
        </w:rPr>
      </w:pPr>
    </w:p>
    <w:p>
      <w:pPr>
        <w:pStyle w:val="2"/>
        <w:spacing w:before="2"/>
        <w:ind w:left="3073"/>
        <w:rPr>
          <w:highlight w:val="none"/>
        </w:rPr>
      </w:pPr>
      <w:r>
        <w:rPr>
          <w:highlight w:val="none"/>
        </w:rPr>
        <w:t>图</w:t>
      </w:r>
      <w:r>
        <w:rPr>
          <w:rFonts w:ascii="Times New Roman" w:eastAsia="Times New Roman"/>
          <w:highlight w:val="none"/>
        </w:rPr>
        <w:t>2</w:t>
      </w:r>
      <w:r>
        <w:rPr>
          <w:highlight w:val="none"/>
        </w:rPr>
        <w:t>：支出决算图</w:t>
      </w:r>
    </w:p>
    <w:p>
      <w:pPr>
        <w:pStyle w:val="2"/>
        <w:spacing w:before="10"/>
        <w:rPr>
          <w:sz w:val="53"/>
          <w:highlight w:val="none"/>
        </w:rPr>
      </w:pPr>
    </w:p>
    <w:p>
      <w:pPr>
        <w:pStyle w:val="2"/>
        <w:spacing w:before="1"/>
        <w:ind w:left="761"/>
        <w:rPr>
          <w:highlight w:val="none"/>
        </w:rPr>
      </w:pPr>
      <w:r>
        <w:rPr>
          <w:highlight w:val="none"/>
        </w:rPr>
        <w:t>四、财政拨款收入支出决算总体情况说明</w:t>
      </w:r>
    </w:p>
    <w:p>
      <w:pPr>
        <w:pStyle w:val="2"/>
        <w:tabs>
          <w:tab w:val="left" w:pos="6824"/>
        </w:tabs>
        <w:spacing w:before="139"/>
        <w:ind w:left="761"/>
        <w:rPr>
          <w:rFonts w:hint="eastAsia" w:eastAsia="宋体"/>
          <w:highlight w:val="none"/>
          <w:lang w:val="en-US" w:eastAsia="zh-CN"/>
        </w:rPr>
        <w:sectPr>
          <w:pgSz w:w="11910" w:h="16840"/>
          <w:pgMar w:top="1500" w:right="1360" w:bottom="280" w:left="1680" w:header="720" w:footer="720" w:gutter="0"/>
          <w:cols w:space="720" w:num="1"/>
        </w:sectPr>
      </w:pPr>
      <w:r>
        <w:rPr>
          <w:rFonts w:hint="eastAsia" w:ascii="Times New Roman"/>
          <w:highlight w:val="none"/>
          <w:u w:val="single"/>
          <w:lang w:eastAsia="zh-CN"/>
        </w:rPr>
        <w:t>连云港市海州区人民检察院</w:t>
      </w:r>
      <w:r>
        <w:rPr>
          <w:rFonts w:ascii="Times New Roman" w:eastAsia="Times New Roman"/>
          <w:highlight w:val="none"/>
        </w:rPr>
        <w:t>2020</w:t>
      </w:r>
      <w:r>
        <w:rPr>
          <w:highlight w:val="none"/>
        </w:rPr>
        <w:t>年度财政拨款收、支总决</w:t>
      </w:r>
      <w:r>
        <w:rPr>
          <w:spacing w:val="3"/>
          <w:highlight w:val="none"/>
        </w:rPr>
        <w:t>算</w:t>
      </w:r>
      <w:r>
        <w:rPr>
          <w:rFonts w:hint="eastAsia"/>
          <w:spacing w:val="3"/>
          <w:highlight w:val="none"/>
          <w:u w:val="single"/>
          <w:lang w:val="en-US" w:eastAsia="zh-CN"/>
        </w:rPr>
        <w:t>4898.32</w:t>
      </w:r>
      <w:r>
        <w:rPr>
          <w:highlight w:val="none"/>
        </w:rPr>
        <w:t>万元。与</w:t>
      </w:r>
      <w:r>
        <w:rPr>
          <w:rFonts w:hint="eastAsia"/>
          <w:highlight w:val="none"/>
          <w:lang w:val="en-US" w:eastAsia="zh-CN"/>
        </w:rPr>
        <w:t>上年相比，财政拨款收、支总计各增加557.53万元，增长12.84%。主要原因是</w:t>
      </w:r>
      <w:r>
        <w:rPr>
          <w:sz w:val="32"/>
          <w:highlight w:val="none"/>
        </w:rPr>
        <w:t>人员</w:t>
      </w:r>
      <w:r>
        <w:rPr>
          <w:rFonts w:hint="eastAsia"/>
          <w:sz w:val="32"/>
          <w:highlight w:val="none"/>
          <w:lang w:val="en-US" w:eastAsia="zh-CN"/>
        </w:rPr>
        <w:t>房贴和公积金的基数增加。</w:t>
      </w:r>
    </w:p>
    <w:p>
      <w:pPr>
        <w:pStyle w:val="2"/>
        <w:spacing w:before="1"/>
        <w:ind w:left="761"/>
        <w:rPr>
          <w:highlight w:val="none"/>
        </w:rPr>
      </w:pPr>
      <w:r>
        <w:rPr>
          <w:highlight w:val="none"/>
        </w:rPr>
        <w:t>五、财政拨款支出决算情况说明</w:t>
      </w:r>
    </w:p>
    <w:p>
      <w:pPr>
        <w:pStyle w:val="2"/>
        <w:tabs>
          <w:tab w:val="left" w:pos="2198"/>
          <w:tab w:val="left" w:pos="2679"/>
          <w:tab w:val="left" w:pos="4918"/>
          <w:tab w:val="left" w:pos="6147"/>
          <w:tab w:val="left" w:pos="7785"/>
        </w:tabs>
        <w:spacing w:before="142" w:line="321" w:lineRule="auto"/>
        <w:ind w:left="120" w:right="114" w:firstLine="640"/>
        <w:rPr>
          <w:highlight w:val="none"/>
        </w:rPr>
      </w:pPr>
      <w:r>
        <w:rPr>
          <w:highlight w:val="none"/>
        </w:rPr>
        <w:t>财政拨款支出决算反映的是一般公共预</w:t>
      </w:r>
      <w:r>
        <w:rPr>
          <w:spacing w:val="4"/>
          <w:highlight w:val="none"/>
        </w:rPr>
        <w:t>算</w:t>
      </w:r>
      <w:r>
        <w:rPr>
          <w:spacing w:val="-15"/>
          <w:highlight w:val="none"/>
        </w:rPr>
        <w:t>、</w:t>
      </w:r>
      <w:r>
        <w:rPr>
          <w:highlight w:val="none"/>
        </w:rPr>
        <w:t>政府性基金 预算和国有资本经营预</w:t>
      </w:r>
      <w:r>
        <w:rPr>
          <w:spacing w:val="3"/>
          <w:highlight w:val="none"/>
        </w:rPr>
        <w:t>算</w:t>
      </w:r>
      <w:r>
        <w:rPr>
          <w:highlight w:val="none"/>
        </w:rPr>
        <w:t>财政拨款支出的总体情况</w:t>
      </w:r>
      <w:r>
        <w:rPr>
          <w:spacing w:val="-15"/>
          <w:highlight w:val="none"/>
        </w:rPr>
        <w:t>，</w:t>
      </w:r>
      <w:r>
        <w:rPr>
          <w:highlight w:val="none"/>
        </w:rPr>
        <w:t>既包括 使用本年从本级财政取得的拨款发生的支出</w:t>
      </w:r>
      <w:r>
        <w:rPr>
          <w:spacing w:val="-13"/>
          <w:highlight w:val="none"/>
        </w:rPr>
        <w:t>，</w:t>
      </w:r>
      <w:r>
        <w:rPr>
          <w:highlight w:val="none"/>
        </w:rPr>
        <w:t>也包括使用上 年度财政拨款结转和结余资金发生的支出</w:t>
      </w:r>
      <w:r>
        <w:rPr>
          <w:spacing w:val="-152"/>
          <w:highlight w:val="none"/>
        </w:rPr>
        <w:t>。</w:t>
      </w:r>
      <w:r>
        <w:rPr>
          <w:rFonts w:hint="eastAsia" w:ascii="Times New Roman"/>
          <w:highlight w:val="none"/>
          <w:u w:val="single"/>
          <w:lang w:eastAsia="zh-CN"/>
        </w:rPr>
        <w:t>连云港市海州区人民检察院</w:t>
      </w:r>
      <w:r>
        <w:rPr>
          <w:rFonts w:ascii="Times New Roman" w:eastAsia="Times New Roman"/>
          <w:highlight w:val="none"/>
        </w:rPr>
        <w:t>2020</w:t>
      </w:r>
      <w:r>
        <w:rPr>
          <w:highlight w:val="none"/>
        </w:rPr>
        <w:t>年财政拨款支出</w:t>
      </w:r>
      <w:r>
        <w:rPr>
          <w:rFonts w:hint="eastAsia"/>
          <w:highlight w:val="none"/>
          <w:u w:val="single"/>
          <w:lang w:val="en-US" w:eastAsia="zh-CN"/>
        </w:rPr>
        <w:t>4530.02</w:t>
      </w:r>
      <w:r>
        <w:rPr>
          <w:highlight w:val="none"/>
        </w:rPr>
        <w:t>万元</w:t>
      </w:r>
      <w:r>
        <w:rPr>
          <w:spacing w:val="-48"/>
          <w:highlight w:val="none"/>
        </w:rPr>
        <w:t>，</w:t>
      </w:r>
      <w:r>
        <w:rPr>
          <w:highlight w:val="none"/>
        </w:rPr>
        <w:t>占本年支出合计</w:t>
      </w:r>
      <w:r>
        <w:rPr>
          <w:spacing w:val="3"/>
          <w:highlight w:val="none"/>
        </w:rPr>
        <w:t>的</w:t>
      </w:r>
      <w:r>
        <w:rPr>
          <w:rFonts w:hint="eastAsia"/>
          <w:spacing w:val="3"/>
          <w:highlight w:val="none"/>
          <w:u w:val="single"/>
          <w:lang w:val="en-US" w:eastAsia="zh-CN"/>
        </w:rPr>
        <w:t>100</w:t>
      </w:r>
      <w:r>
        <w:rPr>
          <w:rFonts w:ascii="Times New Roman" w:eastAsia="Times New Roman"/>
          <w:highlight w:val="none"/>
        </w:rPr>
        <w:t>%</w:t>
      </w:r>
      <w:r>
        <w:rPr>
          <w:spacing w:val="-48"/>
          <w:highlight w:val="none"/>
        </w:rPr>
        <w:t>。</w:t>
      </w:r>
      <w:r>
        <w:rPr>
          <w:rFonts w:hint="eastAsia" w:ascii="Times New Roman"/>
          <w:highlight w:val="none"/>
          <w:u w:val="single"/>
          <w:lang w:eastAsia="zh-CN"/>
        </w:rPr>
        <w:t>连云港市海州区人民检察院</w:t>
      </w:r>
      <w:r>
        <w:rPr>
          <w:rFonts w:ascii="Times New Roman" w:eastAsia="Times New Roman"/>
          <w:highlight w:val="none"/>
        </w:rPr>
        <w:t xml:space="preserve">2020 </w:t>
      </w:r>
      <w:r>
        <w:rPr>
          <w:highlight w:val="none"/>
        </w:rPr>
        <w:t>年度财政拨款支出年初预算</w:t>
      </w:r>
      <w:r>
        <w:rPr>
          <w:spacing w:val="3"/>
          <w:highlight w:val="none"/>
        </w:rPr>
        <w:t>为</w:t>
      </w:r>
      <w:r>
        <w:rPr>
          <w:rFonts w:hint="eastAsia"/>
          <w:spacing w:val="3"/>
          <w:highlight w:val="none"/>
          <w:u w:val="single"/>
          <w:lang w:val="en-US" w:eastAsia="zh-CN"/>
        </w:rPr>
        <w:t>3836.78</w:t>
      </w:r>
      <w:r>
        <w:rPr>
          <w:highlight w:val="none"/>
        </w:rPr>
        <w:t>万元</w:t>
      </w:r>
      <w:r>
        <w:rPr>
          <w:spacing w:val="-15"/>
          <w:highlight w:val="none"/>
        </w:rPr>
        <w:t>，</w:t>
      </w:r>
      <w:r>
        <w:rPr>
          <w:highlight w:val="none"/>
        </w:rPr>
        <w:t>支出决算为</w:t>
      </w:r>
      <w:r>
        <w:rPr>
          <w:rFonts w:hint="eastAsia"/>
          <w:highlight w:val="none"/>
          <w:u w:val="single"/>
          <w:lang w:val="en-US" w:eastAsia="zh-CN"/>
        </w:rPr>
        <w:t>4530.02</w:t>
      </w:r>
      <w:r>
        <w:rPr>
          <w:highlight w:val="none"/>
        </w:rPr>
        <w:t>万元</w:t>
      </w:r>
      <w:r>
        <w:rPr>
          <w:spacing w:val="-15"/>
          <w:highlight w:val="none"/>
        </w:rPr>
        <w:t xml:space="preserve">， </w:t>
      </w:r>
      <w:r>
        <w:rPr>
          <w:highlight w:val="none"/>
        </w:rPr>
        <w:t>完成年初预算</w:t>
      </w:r>
      <w:r>
        <w:rPr>
          <w:spacing w:val="3"/>
          <w:highlight w:val="none"/>
        </w:rPr>
        <w:t>的</w:t>
      </w:r>
      <w:r>
        <w:rPr>
          <w:rFonts w:hint="eastAsia"/>
          <w:spacing w:val="3"/>
          <w:highlight w:val="none"/>
          <w:u w:val="single"/>
          <w:lang w:val="en-US" w:eastAsia="zh-CN"/>
        </w:rPr>
        <w:t>118</w:t>
      </w:r>
      <w:r>
        <w:rPr>
          <w:rFonts w:ascii="Times New Roman" w:eastAsia="Times New Roman"/>
          <w:highlight w:val="none"/>
        </w:rPr>
        <w:t>%</w:t>
      </w:r>
      <w:r>
        <w:rPr>
          <w:highlight w:val="none"/>
        </w:rPr>
        <w:t>。其中：</w:t>
      </w:r>
    </w:p>
    <w:p>
      <w:pPr>
        <w:autoSpaceDE w:val="0"/>
        <w:autoSpaceDN w:val="0"/>
        <w:snapToGrid w:val="0"/>
        <w:spacing w:line="550" w:lineRule="exact"/>
        <w:rPr>
          <w:rFonts w:ascii="宋体" w:hAnsi="宋体" w:eastAsia="宋体" w:cs="宋体"/>
          <w:sz w:val="32"/>
          <w:szCs w:val="32"/>
          <w:highlight w:val="none"/>
          <w:lang w:val="zh-CN" w:eastAsia="zh-CN" w:bidi="zh-CN"/>
        </w:rPr>
      </w:pPr>
      <w:r>
        <w:rPr>
          <w:rFonts w:ascii="宋体" w:hAnsi="宋体" w:eastAsia="宋体" w:cs="宋体"/>
          <w:sz w:val="32"/>
          <w:szCs w:val="32"/>
          <w:highlight w:val="none"/>
          <w:lang w:val="zh-CN" w:eastAsia="zh-CN" w:bidi="zh-CN"/>
        </w:rPr>
        <w:t>（一）</w:t>
      </w:r>
      <w:r>
        <w:rPr>
          <w:rFonts w:hint="eastAsia" w:ascii="宋体" w:hAnsi="宋体" w:eastAsia="宋体" w:cs="宋体"/>
          <w:sz w:val="32"/>
          <w:szCs w:val="32"/>
          <w:highlight w:val="none"/>
          <w:lang w:val="en-US" w:eastAsia="zh-CN" w:bidi="zh-CN"/>
        </w:rPr>
        <w:t>公共安全支出</w:t>
      </w:r>
      <w:r>
        <w:rPr>
          <w:rFonts w:ascii="宋体" w:hAnsi="宋体" w:eastAsia="宋体" w:cs="宋体"/>
          <w:sz w:val="32"/>
          <w:szCs w:val="32"/>
          <w:highlight w:val="none"/>
          <w:lang w:val="zh-CN" w:eastAsia="zh-CN" w:bidi="zh-CN"/>
        </w:rPr>
        <w:t>（类）</w:t>
      </w:r>
    </w:p>
    <w:p>
      <w:pPr>
        <w:pStyle w:val="15"/>
        <w:keepNext w:val="0"/>
        <w:keepLines w:val="0"/>
        <w:pageBreakBefore w:val="0"/>
        <w:widowControl w:val="0"/>
        <w:numPr>
          <w:ilvl w:val="0"/>
          <w:numId w:val="0"/>
        </w:numPr>
        <w:tabs>
          <w:tab w:val="left" w:pos="1243"/>
          <w:tab w:val="left" w:pos="3636"/>
          <w:tab w:val="left" w:pos="5953"/>
        </w:tabs>
        <w:kinsoku/>
        <w:wordWrap/>
        <w:overflowPunct/>
        <w:topLinePunct w:val="0"/>
        <w:autoSpaceDE w:val="0"/>
        <w:autoSpaceDN w:val="0"/>
        <w:bidi w:val="0"/>
        <w:adjustRightInd w:val="0"/>
        <w:snapToGrid w:val="0"/>
        <w:spacing w:before="13" w:line="322" w:lineRule="auto"/>
        <w:ind w:left="24" w:leftChars="11" w:right="284" w:rightChars="0" w:firstLine="675" w:firstLineChars="211"/>
        <w:jc w:val="left"/>
        <w:textAlignment w:val="auto"/>
        <w:rPr>
          <w:rFonts w:ascii="宋体" w:hAnsi="宋体" w:eastAsia="宋体" w:cs="宋体"/>
          <w:sz w:val="32"/>
          <w:szCs w:val="32"/>
          <w:highlight w:val="none"/>
          <w:lang w:val="zh-CN" w:eastAsia="zh-CN" w:bidi="zh-CN"/>
        </w:rPr>
      </w:pPr>
      <w:r>
        <w:rPr>
          <w:rFonts w:ascii="宋体" w:hAnsi="宋体" w:eastAsia="宋体" w:cs="宋体"/>
          <w:sz w:val="32"/>
          <w:szCs w:val="32"/>
          <w:highlight w:val="none"/>
          <w:lang w:val="zh-CN" w:eastAsia="zh-CN" w:bidi="zh-CN"/>
        </w:rPr>
        <w:t>1．</w:t>
      </w:r>
      <w:r>
        <w:rPr>
          <w:rFonts w:hint="eastAsia" w:ascii="宋体" w:hAnsi="宋体" w:eastAsia="宋体" w:cs="宋体"/>
          <w:sz w:val="32"/>
          <w:szCs w:val="32"/>
          <w:highlight w:val="none"/>
          <w:lang w:val="en-US" w:eastAsia="zh-CN" w:bidi="zh-CN"/>
        </w:rPr>
        <w:t>检察</w:t>
      </w:r>
      <w:r>
        <w:rPr>
          <w:rFonts w:ascii="宋体" w:hAnsi="宋体" w:eastAsia="宋体" w:cs="宋体"/>
          <w:sz w:val="32"/>
          <w:szCs w:val="32"/>
          <w:highlight w:val="none"/>
          <w:lang w:val="zh-CN" w:eastAsia="zh-CN" w:bidi="zh-CN"/>
        </w:rPr>
        <w:t>（款）行政运行（项）</w:t>
      </w:r>
      <w:r>
        <w:rPr>
          <w:sz w:val="32"/>
          <w:highlight w:val="none"/>
        </w:rPr>
        <w:t>。</w:t>
      </w:r>
      <w:r>
        <w:rPr>
          <w:rFonts w:hint="eastAsia" w:cs="宋体"/>
          <w:sz w:val="32"/>
          <w:szCs w:val="32"/>
          <w:highlight w:val="none"/>
          <w:lang w:val="en-US" w:eastAsia="zh-CN" w:bidi="zh-CN"/>
        </w:rPr>
        <w:t>年初预算为2771.16万元，</w:t>
      </w:r>
      <w:r>
        <w:rPr>
          <w:rFonts w:ascii="宋体" w:hAnsi="宋体" w:eastAsia="宋体" w:cs="宋体"/>
          <w:sz w:val="32"/>
          <w:szCs w:val="32"/>
          <w:highlight w:val="none"/>
          <w:lang w:val="zh-CN" w:eastAsia="zh-CN" w:bidi="zh-CN"/>
        </w:rPr>
        <w:t>支出</w:t>
      </w:r>
      <w:r>
        <w:rPr>
          <w:rFonts w:hint="eastAsia" w:cs="宋体"/>
          <w:sz w:val="32"/>
          <w:szCs w:val="32"/>
          <w:highlight w:val="none"/>
          <w:lang w:val="en-US" w:eastAsia="zh-CN" w:bidi="zh-CN"/>
        </w:rPr>
        <w:t>决算为</w:t>
      </w:r>
      <w:r>
        <w:rPr>
          <w:rFonts w:hint="eastAsia" w:ascii="宋体" w:hAnsi="宋体" w:eastAsia="宋体" w:cs="宋体"/>
          <w:sz w:val="32"/>
          <w:szCs w:val="32"/>
          <w:highlight w:val="none"/>
          <w:lang w:val="en-US" w:eastAsia="zh-CN" w:bidi="zh-CN"/>
        </w:rPr>
        <w:t>2920.73</w:t>
      </w:r>
      <w:r>
        <w:rPr>
          <w:rFonts w:ascii="宋体" w:hAnsi="宋体" w:eastAsia="宋体" w:cs="宋体"/>
          <w:sz w:val="32"/>
          <w:szCs w:val="32"/>
          <w:highlight w:val="none"/>
          <w:lang w:val="zh-CN" w:eastAsia="zh-CN" w:bidi="zh-CN"/>
        </w:rPr>
        <w:t>万元，</w:t>
      </w:r>
      <w:r>
        <w:rPr>
          <w:rFonts w:hint="eastAsia" w:cs="宋体"/>
          <w:sz w:val="32"/>
          <w:szCs w:val="32"/>
          <w:highlight w:val="none"/>
          <w:lang w:val="en-US" w:eastAsia="zh-CN" w:bidi="zh-CN"/>
        </w:rPr>
        <w:t>完成年初预算的105.40%,决算数大于预算数的</w:t>
      </w:r>
      <w:r>
        <w:rPr>
          <w:rFonts w:ascii="宋体" w:hAnsi="宋体" w:eastAsia="宋体" w:cs="宋体"/>
          <w:sz w:val="32"/>
          <w:szCs w:val="32"/>
          <w:highlight w:val="none"/>
          <w:lang w:val="zh-CN" w:eastAsia="zh-CN" w:bidi="zh-CN"/>
        </w:rPr>
        <w:t>主要原因是</w:t>
      </w:r>
      <w:r>
        <w:rPr>
          <w:sz w:val="32"/>
          <w:highlight w:val="none"/>
        </w:rPr>
        <w:t>人员工资</w:t>
      </w:r>
      <w:r>
        <w:rPr>
          <w:rFonts w:hint="eastAsia"/>
          <w:sz w:val="32"/>
          <w:highlight w:val="none"/>
          <w:lang w:val="en-US" w:eastAsia="zh-CN"/>
        </w:rPr>
        <w:t>增加</w:t>
      </w:r>
      <w:r>
        <w:rPr>
          <w:sz w:val="32"/>
          <w:highlight w:val="none"/>
        </w:rPr>
        <w:t>及工资基数相关的各项费用</w:t>
      </w:r>
      <w:r>
        <w:rPr>
          <w:rFonts w:hint="eastAsia"/>
          <w:sz w:val="32"/>
          <w:highlight w:val="none"/>
          <w:lang w:val="en-US" w:eastAsia="zh-CN"/>
        </w:rPr>
        <w:t>增加</w:t>
      </w:r>
      <w:r>
        <w:rPr>
          <w:sz w:val="32"/>
          <w:highlight w:val="none"/>
        </w:rPr>
        <w:t>。</w:t>
      </w:r>
    </w:p>
    <w:p>
      <w:pPr>
        <w:pStyle w:val="2"/>
        <w:spacing w:before="139" w:line="321" w:lineRule="auto"/>
        <w:ind w:left="120" w:right="436" w:firstLine="640"/>
        <w:jc w:val="both"/>
        <w:rPr>
          <w:rFonts w:hint="default" w:ascii="宋体" w:hAnsi="宋体" w:eastAsia="宋体" w:cs="宋体"/>
          <w:color w:val="auto"/>
          <w:sz w:val="32"/>
          <w:szCs w:val="32"/>
          <w:highlight w:val="yellow"/>
          <w:lang w:val="en-US" w:eastAsia="zh-CN" w:bidi="zh-CN"/>
        </w:rPr>
      </w:pPr>
      <w:r>
        <w:rPr>
          <w:rFonts w:ascii="宋体" w:hAnsi="宋体" w:eastAsia="宋体" w:cs="宋体"/>
          <w:sz w:val="32"/>
          <w:szCs w:val="32"/>
          <w:highlight w:val="none"/>
          <w:lang w:val="zh-CN" w:eastAsia="zh-CN" w:bidi="zh-CN"/>
        </w:rPr>
        <w:t>2．</w:t>
      </w:r>
      <w:r>
        <w:rPr>
          <w:rFonts w:hint="eastAsia" w:ascii="宋体" w:hAnsi="宋体" w:eastAsia="宋体" w:cs="宋体"/>
          <w:sz w:val="32"/>
          <w:szCs w:val="32"/>
          <w:highlight w:val="none"/>
          <w:lang w:val="en-US" w:eastAsia="zh-CN" w:bidi="zh-CN"/>
        </w:rPr>
        <w:t>检察</w:t>
      </w:r>
      <w:r>
        <w:rPr>
          <w:rFonts w:ascii="宋体" w:hAnsi="宋体" w:eastAsia="宋体" w:cs="宋体"/>
          <w:sz w:val="32"/>
          <w:szCs w:val="32"/>
          <w:highlight w:val="none"/>
          <w:lang w:val="zh-CN" w:eastAsia="zh-CN" w:bidi="zh-CN"/>
        </w:rPr>
        <w:t>（款）</w:t>
      </w:r>
      <w:r>
        <w:rPr>
          <w:rFonts w:hint="eastAsia" w:ascii="宋体" w:hAnsi="宋体" w:eastAsia="宋体" w:cs="宋体"/>
          <w:sz w:val="32"/>
          <w:szCs w:val="32"/>
          <w:highlight w:val="none"/>
          <w:lang w:val="en-US" w:eastAsia="zh-CN" w:bidi="zh-CN"/>
        </w:rPr>
        <w:t>其他检查支出</w:t>
      </w:r>
      <w:r>
        <w:rPr>
          <w:rFonts w:ascii="宋体" w:hAnsi="宋体" w:eastAsia="宋体" w:cs="宋体"/>
          <w:sz w:val="32"/>
          <w:szCs w:val="32"/>
          <w:highlight w:val="none"/>
          <w:lang w:val="zh-CN" w:eastAsia="zh-CN" w:bidi="zh-CN"/>
        </w:rPr>
        <w:t>（项），</w:t>
      </w:r>
      <w:r>
        <w:rPr>
          <w:spacing w:val="-4"/>
          <w:highlight w:val="none"/>
        </w:rPr>
        <w:t>年初预算为</w:t>
      </w:r>
      <w:r>
        <w:rPr>
          <w:rFonts w:hint="eastAsia"/>
          <w:spacing w:val="22"/>
          <w:highlight w:val="none"/>
          <w:lang w:val="en-US" w:eastAsia="zh-CN"/>
        </w:rPr>
        <w:t>90</w:t>
      </w:r>
      <w:r>
        <w:rPr>
          <w:spacing w:val="22"/>
          <w:highlight w:val="none"/>
        </w:rPr>
        <w:t>万元，支</w:t>
      </w:r>
      <w:r>
        <w:rPr>
          <w:highlight w:val="none"/>
        </w:rPr>
        <w:t>出决算为</w:t>
      </w:r>
      <w:r>
        <w:rPr>
          <w:rFonts w:hint="eastAsia" w:ascii="宋体" w:hAnsi="宋体" w:eastAsia="宋体" w:cs="宋体"/>
          <w:sz w:val="32"/>
          <w:szCs w:val="32"/>
          <w:highlight w:val="none"/>
          <w:lang w:val="en-US" w:eastAsia="zh-CN" w:bidi="zh-CN"/>
        </w:rPr>
        <w:t>401.59</w:t>
      </w:r>
      <w:r>
        <w:rPr>
          <w:spacing w:val="4"/>
          <w:highlight w:val="none"/>
        </w:rPr>
        <w:t>万元，完成年初预算的</w:t>
      </w:r>
      <w:r>
        <w:rPr>
          <w:rFonts w:hint="eastAsia"/>
          <w:spacing w:val="154"/>
          <w:highlight w:val="none"/>
          <w:lang w:val="en-US" w:eastAsia="zh-CN"/>
        </w:rPr>
        <w:t>446</w:t>
      </w:r>
      <w:r>
        <w:rPr>
          <w:rFonts w:ascii="Times New Roman" w:hAnsi="Times New Roman" w:eastAsia="Times New Roman"/>
          <w:highlight w:val="none"/>
        </w:rPr>
        <w:t>%</w:t>
      </w:r>
      <w:r>
        <w:rPr>
          <w:spacing w:val="-32"/>
          <w:highlight w:val="none"/>
        </w:rPr>
        <w:t>。决算数大于</w:t>
      </w:r>
      <w:r>
        <w:rPr>
          <w:highlight w:val="none"/>
        </w:rPr>
        <w:t>预算数的</w:t>
      </w:r>
      <w:r>
        <w:rPr>
          <w:rFonts w:ascii="宋体" w:hAnsi="宋体" w:eastAsia="宋体" w:cs="宋体"/>
          <w:sz w:val="32"/>
          <w:szCs w:val="32"/>
          <w:highlight w:val="none"/>
          <w:lang w:val="zh-CN" w:eastAsia="zh-CN" w:bidi="zh-CN"/>
        </w:rPr>
        <w:t>主要原因</w:t>
      </w:r>
      <w:r>
        <w:rPr>
          <w:rFonts w:ascii="宋体" w:hAnsi="宋体" w:eastAsia="宋体" w:cs="宋体"/>
          <w:color w:val="auto"/>
          <w:sz w:val="32"/>
          <w:szCs w:val="32"/>
          <w:highlight w:val="yellow"/>
          <w:lang w:val="zh-CN" w:eastAsia="zh-CN" w:bidi="zh-CN"/>
        </w:rPr>
        <w:t>是</w:t>
      </w:r>
      <w:r>
        <w:rPr>
          <w:rFonts w:hint="eastAsia" w:cs="宋体"/>
          <w:color w:val="auto"/>
          <w:sz w:val="32"/>
          <w:szCs w:val="32"/>
          <w:highlight w:val="yellow"/>
          <w:lang w:val="en-US" w:eastAsia="zh-CN" w:bidi="zh-CN"/>
        </w:rPr>
        <w:t>省下达2020年省政法转移支付资金办案费和装备经费。</w:t>
      </w:r>
    </w:p>
    <w:p>
      <w:pPr>
        <w:autoSpaceDE w:val="0"/>
        <w:autoSpaceDN w:val="0"/>
        <w:snapToGrid w:val="0"/>
        <w:spacing w:line="550" w:lineRule="exact"/>
        <w:rPr>
          <w:rFonts w:ascii="宋体" w:hAnsi="宋体" w:eastAsia="宋体" w:cs="宋体"/>
          <w:sz w:val="32"/>
          <w:szCs w:val="32"/>
          <w:highlight w:val="none"/>
          <w:lang w:val="zh-CN" w:eastAsia="zh-CN" w:bidi="zh-CN"/>
        </w:rPr>
      </w:pPr>
      <w:r>
        <w:rPr>
          <w:rFonts w:ascii="宋体" w:hAnsi="宋体" w:eastAsia="宋体" w:cs="宋体"/>
          <w:sz w:val="32"/>
          <w:szCs w:val="32"/>
          <w:highlight w:val="none"/>
          <w:lang w:val="zh-CN" w:eastAsia="zh-CN" w:bidi="zh-CN"/>
        </w:rPr>
        <w:t>（二）</w:t>
      </w:r>
      <w:r>
        <w:rPr>
          <w:rFonts w:hint="eastAsia" w:ascii="宋体" w:hAnsi="宋体" w:eastAsia="宋体" w:cs="宋体"/>
          <w:sz w:val="32"/>
          <w:szCs w:val="32"/>
          <w:highlight w:val="none"/>
          <w:lang w:val="en-US" w:eastAsia="zh-CN" w:bidi="zh-CN"/>
        </w:rPr>
        <w:t>社会保障和就业支出</w:t>
      </w:r>
      <w:r>
        <w:rPr>
          <w:rFonts w:ascii="宋体" w:hAnsi="宋体" w:eastAsia="宋体" w:cs="宋体"/>
          <w:sz w:val="32"/>
          <w:szCs w:val="32"/>
          <w:highlight w:val="none"/>
          <w:lang w:val="zh-CN" w:eastAsia="zh-CN" w:bidi="zh-CN"/>
        </w:rPr>
        <w:t>（类）</w:t>
      </w:r>
    </w:p>
    <w:p>
      <w:pPr>
        <w:pStyle w:val="2"/>
        <w:spacing w:before="139" w:line="321" w:lineRule="auto"/>
        <w:ind w:left="120" w:right="436" w:firstLine="640"/>
        <w:jc w:val="both"/>
        <w:rPr>
          <w:rFonts w:ascii="宋体" w:hAnsi="宋体" w:eastAsia="宋体" w:cs="宋体"/>
          <w:sz w:val="32"/>
          <w:szCs w:val="32"/>
          <w:highlight w:val="none"/>
          <w:lang w:val="zh-CN" w:eastAsia="zh-CN" w:bidi="zh-CN"/>
        </w:rPr>
      </w:pPr>
      <w:r>
        <w:rPr>
          <w:rFonts w:ascii="宋体" w:hAnsi="宋体" w:eastAsia="宋体" w:cs="宋体"/>
          <w:sz w:val="32"/>
          <w:szCs w:val="32"/>
          <w:highlight w:val="none"/>
          <w:lang w:val="zh-CN" w:eastAsia="zh-CN" w:bidi="zh-CN"/>
        </w:rPr>
        <w:t>1．</w:t>
      </w:r>
      <w:r>
        <w:rPr>
          <w:rFonts w:hint="eastAsia" w:ascii="宋体" w:hAnsi="宋体" w:eastAsia="宋体" w:cs="宋体"/>
          <w:sz w:val="32"/>
          <w:szCs w:val="32"/>
          <w:highlight w:val="none"/>
          <w:lang w:val="en-US" w:eastAsia="zh-CN" w:bidi="zh-CN"/>
        </w:rPr>
        <w:t>行政事业单位养老支出</w:t>
      </w:r>
      <w:r>
        <w:rPr>
          <w:rFonts w:ascii="宋体" w:hAnsi="宋体" w:eastAsia="宋体" w:cs="宋体"/>
          <w:sz w:val="32"/>
          <w:szCs w:val="32"/>
          <w:highlight w:val="none"/>
          <w:lang w:val="zh-CN" w:eastAsia="zh-CN" w:bidi="zh-CN"/>
        </w:rPr>
        <w:t>（款）</w:t>
      </w:r>
      <w:r>
        <w:rPr>
          <w:rFonts w:hint="eastAsia" w:ascii="宋体" w:hAnsi="宋体" w:eastAsia="宋体" w:cs="宋体"/>
          <w:sz w:val="32"/>
          <w:szCs w:val="32"/>
          <w:highlight w:val="none"/>
          <w:lang w:val="en-US" w:eastAsia="zh-CN" w:bidi="zh-CN"/>
        </w:rPr>
        <w:t>机关事业单位基本养老保险缴费支出</w:t>
      </w:r>
      <w:r>
        <w:rPr>
          <w:rFonts w:ascii="宋体" w:hAnsi="宋体" w:eastAsia="宋体" w:cs="宋体"/>
          <w:sz w:val="32"/>
          <w:szCs w:val="32"/>
          <w:highlight w:val="none"/>
          <w:lang w:val="zh-CN" w:eastAsia="zh-CN" w:bidi="zh-CN"/>
        </w:rPr>
        <w:t>（项），</w:t>
      </w:r>
      <w:r>
        <w:rPr>
          <w:spacing w:val="-4"/>
          <w:highlight w:val="none"/>
        </w:rPr>
        <w:t>年初预算为</w:t>
      </w:r>
      <w:r>
        <w:rPr>
          <w:rFonts w:hint="eastAsia"/>
          <w:spacing w:val="22"/>
          <w:highlight w:val="none"/>
          <w:lang w:val="en-US" w:eastAsia="zh-CN"/>
        </w:rPr>
        <w:t>172.46</w:t>
      </w:r>
      <w:r>
        <w:rPr>
          <w:spacing w:val="22"/>
          <w:highlight w:val="none"/>
        </w:rPr>
        <w:t>万元，支</w:t>
      </w:r>
      <w:r>
        <w:rPr>
          <w:highlight w:val="none"/>
        </w:rPr>
        <w:t>出决算为</w:t>
      </w:r>
      <w:r>
        <w:rPr>
          <w:rFonts w:hint="eastAsia"/>
          <w:spacing w:val="4"/>
          <w:highlight w:val="none"/>
          <w:lang w:val="en-US" w:eastAsia="zh-CN"/>
        </w:rPr>
        <w:t>168.27</w:t>
      </w:r>
      <w:r>
        <w:rPr>
          <w:spacing w:val="4"/>
          <w:highlight w:val="none"/>
        </w:rPr>
        <w:t>万元，完成年初预算的</w:t>
      </w:r>
      <w:r>
        <w:rPr>
          <w:rFonts w:hint="eastAsia"/>
          <w:spacing w:val="4"/>
          <w:highlight w:val="none"/>
          <w:lang w:val="en-US" w:eastAsia="zh-CN"/>
        </w:rPr>
        <w:t>97</w:t>
      </w:r>
      <w:r>
        <w:rPr>
          <w:rFonts w:ascii="Times New Roman" w:hAnsi="Times New Roman" w:eastAsia="Times New Roman"/>
          <w:highlight w:val="none"/>
        </w:rPr>
        <w:t>%</w:t>
      </w:r>
      <w:r>
        <w:rPr>
          <w:spacing w:val="-32"/>
          <w:highlight w:val="none"/>
        </w:rPr>
        <w:t>。决算数</w:t>
      </w:r>
      <w:r>
        <w:rPr>
          <w:highlight w:val="none"/>
        </w:rPr>
        <w:t>小于预算数的</w:t>
      </w:r>
      <w:r>
        <w:rPr>
          <w:rFonts w:ascii="宋体" w:hAnsi="宋体" w:eastAsia="宋体" w:cs="宋体"/>
          <w:sz w:val="32"/>
          <w:szCs w:val="32"/>
          <w:highlight w:val="none"/>
          <w:lang w:val="zh-CN" w:eastAsia="zh-CN" w:bidi="zh-CN"/>
        </w:rPr>
        <w:t>主要原因是</w:t>
      </w:r>
      <w:r>
        <w:rPr>
          <w:rFonts w:hint="eastAsia" w:cs="宋体"/>
          <w:sz w:val="32"/>
          <w:szCs w:val="32"/>
          <w:highlight w:val="none"/>
          <w:lang w:val="en-US" w:eastAsia="zh-CN" w:bidi="zh-CN"/>
        </w:rPr>
        <w:t>人员减少，</w:t>
      </w:r>
      <w:r>
        <w:rPr>
          <w:rFonts w:hint="eastAsia" w:ascii="宋体" w:hAnsi="宋体" w:eastAsia="宋体" w:cs="宋体"/>
          <w:sz w:val="32"/>
          <w:szCs w:val="32"/>
          <w:highlight w:val="none"/>
          <w:lang w:val="en-US" w:eastAsia="zh-CN" w:bidi="zh-CN"/>
        </w:rPr>
        <w:t>机关事业单位基本养老保险缴费支出下降</w:t>
      </w:r>
      <w:r>
        <w:rPr>
          <w:rFonts w:ascii="宋体" w:hAnsi="宋体" w:eastAsia="宋体" w:cs="宋体"/>
          <w:sz w:val="32"/>
          <w:szCs w:val="32"/>
          <w:highlight w:val="none"/>
          <w:lang w:val="zh-CN" w:eastAsia="zh-CN" w:bidi="zh-CN"/>
        </w:rPr>
        <w:t>。</w:t>
      </w:r>
    </w:p>
    <w:p>
      <w:pPr>
        <w:pStyle w:val="2"/>
        <w:spacing w:before="139" w:line="321" w:lineRule="auto"/>
        <w:ind w:left="120" w:right="436" w:firstLine="640"/>
        <w:jc w:val="both"/>
        <w:rPr>
          <w:rFonts w:ascii="宋体" w:hAnsi="宋体" w:eastAsia="宋体" w:cs="宋体"/>
          <w:sz w:val="32"/>
          <w:szCs w:val="32"/>
          <w:highlight w:val="none"/>
          <w:lang w:val="zh-CN" w:eastAsia="zh-CN" w:bidi="zh-CN"/>
        </w:rPr>
      </w:pPr>
      <w:r>
        <w:rPr>
          <w:rFonts w:hint="eastAsia" w:ascii="宋体" w:hAnsi="宋体" w:eastAsia="宋体" w:cs="宋体"/>
          <w:sz w:val="32"/>
          <w:szCs w:val="32"/>
          <w:highlight w:val="none"/>
          <w:lang w:val="zh-CN" w:eastAsia="zh-CN" w:bidi="zh-CN"/>
        </w:rPr>
        <w:t xml:space="preserve">2. </w:t>
      </w:r>
      <w:r>
        <w:rPr>
          <w:rFonts w:hint="eastAsia" w:ascii="宋体" w:hAnsi="宋体" w:eastAsia="宋体" w:cs="宋体"/>
          <w:sz w:val="32"/>
          <w:szCs w:val="32"/>
          <w:highlight w:val="none"/>
          <w:lang w:val="en-US" w:eastAsia="zh-CN" w:bidi="zh-CN"/>
        </w:rPr>
        <w:t>行政事业单位养老支出</w:t>
      </w:r>
      <w:r>
        <w:rPr>
          <w:rFonts w:hint="eastAsia" w:ascii="宋体" w:hAnsi="宋体" w:eastAsia="宋体" w:cs="宋体"/>
          <w:sz w:val="32"/>
          <w:szCs w:val="32"/>
          <w:highlight w:val="none"/>
          <w:lang w:val="zh-CN" w:eastAsia="zh-CN" w:bidi="zh-CN"/>
        </w:rPr>
        <w:t>（款）</w:t>
      </w:r>
      <w:r>
        <w:rPr>
          <w:rFonts w:hint="eastAsia" w:ascii="宋体" w:hAnsi="宋体" w:eastAsia="宋体" w:cs="宋体"/>
          <w:sz w:val="32"/>
          <w:szCs w:val="32"/>
          <w:highlight w:val="none"/>
          <w:lang w:val="en-US" w:eastAsia="zh-CN" w:bidi="zh-CN"/>
        </w:rPr>
        <w:t>机关事业单位职业年金缴费支出</w:t>
      </w:r>
      <w:r>
        <w:rPr>
          <w:rFonts w:hint="eastAsia" w:ascii="宋体" w:hAnsi="宋体" w:eastAsia="宋体" w:cs="宋体"/>
          <w:sz w:val="32"/>
          <w:szCs w:val="32"/>
          <w:highlight w:val="none"/>
          <w:lang w:val="zh-CN" w:eastAsia="zh-CN" w:bidi="zh-CN"/>
        </w:rPr>
        <w:t>（项），</w:t>
      </w:r>
      <w:r>
        <w:rPr>
          <w:rFonts w:hint="eastAsia" w:ascii="宋体" w:hAnsi="宋体" w:eastAsia="宋体" w:cs="宋体"/>
          <w:sz w:val="32"/>
          <w:szCs w:val="32"/>
          <w:highlight w:val="none"/>
          <w:lang w:val="en-US" w:eastAsia="zh-CN" w:bidi="zh-CN"/>
        </w:rPr>
        <w:t>年初预算为</w:t>
      </w:r>
      <w:r>
        <w:rPr>
          <w:rFonts w:hint="eastAsia" w:cs="宋体"/>
          <w:sz w:val="32"/>
          <w:szCs w:val="32"/>
          <w:highlight w:val="none"/>
          <w:lang w:val="en-US" w:eastAsia="zh-CN" w:bidi="zh-CN"/>
        </w:rPr>
        <w:t>83.04</w:t>
      </w:r>
      <w:r>
        <w:rPr>
          <w:rFonts w:hint="eastAsia" w:ascii="宋体" w:hAnsi="宋体" w:eastAsia="宋体" w:cs="宋体"/>
          <w:sz w:val="32"/>
          <w:szCs w:val="32"/>
          <w:highlight w:val="none"/>
          <w:lang w:val="en-US" w:eastAsia="zh-CN" w:bidi="zh-CN"/>
        </w:rPr>
        <w:t>万元，支出决算为82.74 万元，完成年初预算的</w:t>
      </w:r>
      <w:r>
        <w:rPr>
          <w:rFonts w:hint="eastAsia" w:cs="宋体"/>
          <w:sz w:val="32"/>
          <w:szCs w:val="32"/>
          <w:highlight w:val="none"/>
          <w:lang w:val="en-US" w:eastAsia="zh-CN" w:bidi="zh-CN"/>
        </w:rPr>
        <w:t>99</w:t>
      </w:r>
      <w:r>
        <w:rPr>
          <w:rFonts w:hint="eastAsia" w:ascii="宋体" w:hAnsi="宋体" w:eastAsia="宋体" w:cs="宋体"/>
          <w:sz w:val="32"/>
          <w:szCs w:val="32"/>
          <w:highlight w:val="none"/>
          <w:lang w:val="en-US" w:eastAsia="zh-CN" w:bidi="zh-CN"/>
        </w:rPr>
        <w:t>%。</w:t>
      </w:r>
      <w:r>
        <w:rPr>
          <w:spacing w:val="-32"/>
          <w:highlight w:val="none"/>
        </w:rPr>
        <w:t>决算数</w:t>
      </w:r>
      <w:r>
        <w:rPr>
          <w:highlight w:val="none"/>
        </w:rPr>
        <w:t>小于预算数的</w:t>
      </w:r>
      <w:r>
        <w:rPr>
          <w:rFonts w:ascii="宋体" w:hAnsi="宋体" w:eastAsia="宋体" w:cs="宋体"/>
          <w:sz w:val="32"/>
          <w:szCs w:val="32"/>
          <w:highlight w:val="none"/>
          <w:lang w:val="zh-CN" w:eastAsia="zh-CN" w:bidi="zh-CN"/>
        </w:rPr>
        <w:t>主要原因是</w:t>
      </w:r>
      <w:r>
        <w:rPr>
          <w:rFonts w:hint="eastAsia" w:cs="宋体"/>
          <w:sz w:val="32"/>
          <w:szCs w:val="32"/>
          <w:highlight w:val="none"/>
          <w:lang w:val="en-US" w:eastAsia="zh-CN" w:bidi="zh-CN"/>
        </w:rPr>
        <w:t>人员减少，</w:t>
      </w:r>
      <w:r>
        <w:rPr>
          <w:rFonts w:hint="eastAsia" w:ascii="宋体" w:hAnsi="宋体" w:eastAsia="宋体" w:cs="宋体"/>
          <w:sz w:val="32"/>
          <w:szCs w:val="32"/>
          <w:highlight w:val="none"/>
          <w:lang w:val="en-US" w:eastAsia="zh-CN" w:bidi="zh-CN"/>
        </w:rPr>
        <w:t>机关事业单位</w:t>
      </w:r>
      <w:r>
        <w:rPr>
          <w:rFonts w:hint="eastAsia" w:cs="宋体"/>
          <w:sz w:val="32"/>
          <w:szCs w:val="32"/>
          <w:highlight w:val="none"/>
          <w:lang w:val="en-US" w:eastAsia="zh-CN" w:bidi="zh-CN"/>
        </w:rPr>
        <w:t>职业年金</w:t>
      </w:r>
      <w:r>
        <w:rPr>
          <w:rFonts w:hint="eastAsia" w:ascii="宋体" w:hAnsi="宋体" w:eastAsia="宋体" w:cs="宋体"/>
          <w:sz w:val="32"/>
          <w:szCs w:val="32"/>
          <w:highlight w:val="none"/>
          <w:lang w:val="en-US" w:eastAsia="zh-CN" w:bidi="zh-CN"/>
        </w:rPr>
        <w:t>缴费支出下降</w:t>
      </w:r>
      <w:r>
        <w:rPr>
          <w:rFonts w:ascii="宋体" w:hAnsi="宋体" w:eastAsia="宋体" w:cs="宋体"/>
          <w:sz w:val="32"/>
          <w:szCs w:val="32"/>
          <w:highlight w:val="none"/>
          <w:lang w:val="zh-CN" w:eastAsia="zh-CN" w:bidi="zh-CN"/>
        </w:rPr>
        <w:t>。</w:t>
      </w:r>
    </w:p>
    <w:p>
      <w:pPr>
        <w:autoSpaceDE w:val="0"/>
        <w:autoSpaceDN w:val="0"/>
        <w:snapToGrid w:val="0"/>
        <w:spacing w:line="550" w:lineRule="exact"/>
        <w:rPr>
          <w:rFonts w:hint="eastAsia" w:ascii="宋体" w:hAnsi="宋体" w:eastAsia="宋体" w:cs="宋体"/>
          <w:sz w:val="32"/>
          <w:szCs w:val="32"/>
          <w:highlight w:val="yellow"/>
          <w:lang w:val="en-US" w:eastAsia="zh-CN" w:bidi="zh-CN"/>
        </w:rPr>
      </w:pPr>
      <w:r>
        <w:rPr>
          <w:rFonts w:hint="eastAsia" w:cs="宋体"/>
          <w:sz w:val="32"/>
          <w:szCs w:val="32"/>
          <w:highlight w:val="none"/>
          <w:lang w:val="en-US" w:eastAsia="zh-CN" w:bidi="zh-CN"/>
        </w:rPr>
        <w:t>（</w:t>
      </w:r>
      <w:r>
        <w:rPr>
          <w:rFonts w:hint="eastAsia" w:ascii="宋体" w:hAnsi="宋体" w:eastAsia="宋体" w:cs="宋体"/>
          <w:sz w:val="32"/>
          <w:szCs w:val="32"/>
          <w:highlight w:val="yellow"/>
          <w:lang w:val="en-US" w:eastAsia="zh-CN" w:bidi="zh-CN"/>
        </w:rPr>
        <w:t>三）</w:t>
      </w:r>
      <w:r>
        <w:rPr>
          <w:rFonts w:hint="eastAsia" w:cs="宋体"/>
          <w:sz w:val="32"/>
          <w:szCs w:val="32"/>
          <w:highlight w:val="yellow"/>
          <w:lang w:val="en-US" w:eastAsia="zh-CN" w:bidi="zh-CN"/>
        </w:rPr>
        <w:t>节能环保</w:t>
      </w:r>
      <w:r>
        <w:rPr>
          <w:rFonts w:hint="eastAsia" w:ascii="宋体" w:hAnsi="宋体" w:eastAsia="宋体" w:cs="宋体"/>
          <w:sz w:val="32"/>
          <w:szCs w:val="32"/>
          <w:highlight w:val="yellow"/>
          <w:lang w:val="en-US" w:eastAsia="zh-CN" w:bidi="zh-CN"/>
        </w:rPr>
        <w:t>支出（类）</w:t>
      </w:r>
    </w:p>
    <w:p>
      <w:pPr>
        <w:pStyle w:val="2"/>
        <w:spacing w:before="139" w:line="321" w:lineRule="auto"/>
        <w:ind w:left="120" w:right="436" w:firstLine="640"/>
        <w:jc w:val="both"/>
        <w:rPr>
          <w:rFonts w:hint="eastAsia" w:ascii="宋体" w:hAnsi="宋体" w:eastAsia="宋体" w:cs="宋体"/>
          <w:sz w:val="32"/>
          <w:szCs w:val="32"/>
          <w:highlight w:val="yellow"/>
          <w:lang w:val="en-US" w:eastAsia="zh-CN" w:bidi="zh-CN"/>
        </w:rPr>
      </w:pPr>
      <w:r>
        <w:rPr>
          <w:rFonts w:hint="eastAsia" w:ascii="宋体" w:hAnsi="宋体" w:eastAsia="宋体" w:cs="宋体"/>
          <w:sz w:val="32"/>
          <w:szCs w:val="32"/>
          <w:highlight w:val="yellow"/>
          <w:lang w:val="en-US" w:eastAsia="zh-CN" w:bidi="zh-CN"/>
        </w:rPr>
        <w:t>1.</w:t>
      </w:r>
      <w:r>
        <w:rPr>
          <w:rFonts w:hint="eastAsia" w:cs="宋体"/>
          <w:sz w:val="32"/>
          <w:szCs w:val="32"/>
          <w:highlight w:val="yellow"/>
          <w:lang w:val="en-US" w:eastAsia="zh-CN" w:bidi="zh-CN"/>
        </w:rPr>
        <w:t>污染防治</w:t>
      </w:r>
      <w:r>
        <w:rPr>
          <w:rFonts w:hint="eastAsia" w:ascii="宋体" w:hAnsi="宋体" w:eastAsia="宋体" w:cs="宋体"/>
          <w:sz w:val="32"/>
          <w:szCs w:val="32"/>
          <w:highlight w:val="yellow"/>
          <w:lang w:val="en-US" w:eastAsia="zh-CN" w:bidi="zh-CN"/>
        </w:rPr>
        <w:t>（款）</w:t>
      </w:r>
      <w:r>
        <w:rPr>
          <w:rFonts w:hint="eastAsia" w:cs="宋体"/>
          <w:sz w:val="32"/>
          <w:szCs w:val="32"/>
          <w:highlight w:val="yellow"/>
          <w:lang w:val="en-US" w:eastAsia="zh-CN" w:bidi="zh-CN"/>
        </w:rPr>
        <w:t>其他污染防治支出</w:t>
      </w:r>
      <w:r>
        <w:rPr>
          <w:rFonts w:hint="eastAsia" w:ascii="宋体" w:hAnsi="宋体" w:eastAsia="宋体" w:cs="宋体"/>
          <w:sz w:val="32"/>
          <w:szCs w:val="32"/>
          <w:highlight w:val="yellow"/>
          <w:lang w:val="en-US" w:eastAsia="zh-CN" w:bidi="zh-CN"/>
        </w:rPr>
        <w:t>（项）</w:t>
      </w:r>
      <w:r>
        <w:rPr>
          <w:rFonts w:hint="eastAsia" w:cs="宋体"/>
          <w:sz w:val="32"/>
          <w:szCs w:val="32"/>
          <w:highlight w:val="yellow"/>
          <w:lang w:val="en-US" w:eastAsia="zh-CN" w:bidi="zh-CN"/>
        </w:rPr>
        <w:t>，</w:t>
      </w:r>
      <w:r>
        <w:rPr>
          <w:spacing w:val="-4"/>
          <w:highlight w:val="yellow"/>
        </w:rPr>
        <w:t>年初预算为</w:t>
      </w:r>
      <w:r>
        <w:rPr>
          <w:rFonts w:hint="eastAsia"/>
          <w:spacing w:val="22"/>
          <w:highlight w:val="yellow"/>
          <w:lang w:val="en-US" w:eastAsia="zh-CN"/>
        </w:rPr>
        <w:t>0</w:t>
      </w:r>
      <w:r>
        <w:rPr>
          <w:spacing w:val="22"/>
          <w:highlight w:val="yellow"/>
        </w:rPr>
        <w:t>万元，支</w:t>
      </w:r>
      <w:r>
        <w:rPr>
          <w:highlight w:val="yellow"/>
        </w:rPr>
        <w:t>出决算为</w:t>
      </w:r>
      <w:r>
        <w:rPr>
          <w:rFonts w:hint="eastAsia"/>
          <w:spacing w:val="4"/>
          <w:highlight w:val="yellow"/>
          <w:lang w:val="en-US" w:eastAsia="zh-CN"/>
        </w:rPr>
        <w:t>50</w:t>
      </w:r>
      <w:r>
        <w:rPr>
          <w:spacing w:val="4"/>
          <w:highlight w:val="yellow"/>
        </w:rPr>
        <w:t>万元，完成年初预算的</w:t>
      </w:r>
      <w:r>
        <w:rPr>
          <w:rFonts w:hint="eastAsia"/>
          <w:spacing w:val="154"/>
          <w:highlight w:val="yellow"/>
          <w:lang w:val="en-US" w:eastAsia="zh-CN"/>
        </w:rPr>
        <w:t>100</w:t>
      </w:r>
      <w:r>
        <w:rPr>
          <w:rFonts w:ascii="Times New Roman" w:hAnsi="Times New Roman" w:eastAsia="Times New Roman"/>
          <w:highlight w:val="yellow"/>
        </w:rPr>
        <w:t>%</w:t>
      </w:r>
      <w:r>
        <w:rPr>
          <w:spacing w:val="-32"/>
          <w:highlight w:val="yellow"/>
        </w:rPr>
        <w:t>。决算数大于</w:t>
      </w:r>
      <w:r>
        <w:rPr>
          <w:highlight w:val="yellow"/>
        </w:rPr>
        <w:t>预算数的</w:t>
      </w:r>
      <w:r>
        <w:rPr>
          <w:rFonts w:hint="eastAsia" w:ascii="宋体" w:hAnsi="宋体" w:eastAsia="宋体" w:cs="宋体"/>
          <w:sz w:val="32"/>
          <w:szCs w:val="32"/>
          <w:highlight w:val="yellow"/>
          <w:lang w:val="en-US" w:eastAsia="zh-CN" w:bidi="zh-CN"/>
        </w:rPr>
        <w:t>主要原因是办理污染环境案，危险废物处置费（焚烧处置）。</w:t>
      </w:r>
    </w:p>
    <w:p>
      <w:pPr>
        <w:autoSpaceDE w:val="0"/>
        <w:autoSpaceDN w:val="0"/>
        <w:snapToGrid w:val="0"/>
        <w:spacing w:line="550" w:lineRule="exact"/>
        <w:rPr>
          <w:rFonts w:hint="eastAsia" w:ascii="宋体" w:hAnsi="宋体" w:eastAsia="宋体" w:cs="宋体"/>
          <w:sz w:val="32"/>
          <w:szCs w:val="32"/>
          <w:highlight w:val="none"/>
          <w:lang w:val="en-US" w:eastAsia="zh-CN" w:bidi="zh-CN"/>
        </w:rPr>
      </w:pPr>
      <w:r>
        <w:rPr>
          <w:rFonts w:hint="eastAsia" w:ascii="宋体" w:hAnsi="宋体" w:eastAsia="宋体" w:cs="宋体"/>
          <w:sz w:val="32"/>
          <w:szCs w:val="32"/>
          <w:highlight w:val="none"/>
          <w:lang w:val="en-US" w:eastAsia="zh-CN" w:bidi="zh-CN"/>
        </w:rPr>
        <w:t>（</w:t>
      </w:r>
      <w:r>
        <w:rPr>
          <w:rFonts w:hint="eastAsia" w:cs="宋体"/>
          <w:sz w:val="32"/>
          <w:szCs w:val="32"/>
          <w:highlight w:val="none"/>
          <w:lang w:val="en-US" w:eastAsia="zh-CN" w:bidi="zh-CN"/>
        </w:rPr>
        <w:t>四</w:t>
      </w:r>
      <w:r>
        <w:rPr>
          <w:rFonts w:hint="eastAsia" w:ascii="宋体" w:hAnsi="宋体" w:eastAsia="宋体" w:cs="宋体"/>
          <w:sz w:val="32"/>
          <w:szCs w:val="32"/>
          <w:highlight w:val="none"/>
          <w:lang w:val="en-US" w:eastAsia="zh-CN" w:bidi="zh-CN"/>
        </w:rPr>
        <w:t>）住房保障支出（类）</w:t>
      </w:r>
    </w:p>
    <w:p>
      <w:pPr>
        <w:pStyle w:val="2"/>
        <w:spacing w:before="139" w:line="321" w:lineRule="auto"/>
        <w:ind w:left="120" w:right="436" w:firstLine="640"/>
        <w:jc w:val="both"/>
        <w:rPr>
          <w:rFonts w:hint="eastAsia" w:ascii="宋体" w:hAnsi="宋体" w:eastAsia="宋体" w:cs="宋体"/>
          <w:sz w:val="32"/>
          <w:szCs w:val="32"/>
          <w:highlight w:val="none"/>
          <w:lang w:val="en-US" w:eastAsia="zh-CN" w:bidi="zh-CN"/>
        </w:rPr>
      </w:pPr>
      <w:r>
        <w:rPr>
          <w:rFonts w:hint="eastAsia" w:ascii="宋体" w:hAnsi="宋体" w:eastAsia="宋体" w:cs="宋体"/>
          <w:sz w:val="32"/>
          <w:szCs w:val="32"/>
          <w:highlight w:val="none"/>
          <w:lang w:val="en-US" w:eastAsia="zh-CN" w:bidi="zh-CN"/>
        </w:rPr>
        <w:t>1.住房改革支出（款）住房公积金（项）</w:t>
      </w:r>
      <w:r>
        <w:rPr>
          <w:spacing w:val="-4"/>
          <w:highlight w:val="none"/>
        </w:rPr>
        <w:t>年初预算为</w:t>
      </w:r>
      <w:r>
        <w:rPr>
          <w:rFonts w:hint="eastAsia"/>
          <w:spacing w:val="22"/>
          <w:highlight w:val="none"/>
          <w:lang w:val="en-US" w:eastAsia="zh-CN"/>
        </w:rPr>
        <w:t>227.41</w:t>
      </w:r>
      <w:r>
        <w:rPr>
          <w:spacing w:val="22"/>
          <w:highlight w:val="none"/>
        </w:rPr>
        <w:t>万元，支</w:t>
      </w:r>
      <w:r>
        <w:rPr>
          <w:highlight w:val="none"/>
        </w:rPr>
        <w:t>出决算为</w:t>
      </w:r>
      <w:r>
        <w:rPr>
          <w:rFonts w:hint="eastAsia"/>
          <w:spacing w:val="4"/>
          <w:highlight w:val="none"/>
          <w:lang w:val="en-US" w:eastAsia="zh-CN"/>
        </w:rPr>
        <w:t>303.78</w:t>
      </w:r>
      <w:r>
        <w:rPr>
          <w:spacing w:val="4"/>
          <w:highlight w:val="none"/>
        </w:rPr>
        <w:t>万元，完成年初预算的</w:t>
      </w:r>
      <w:r>
        <w:rPr>
          <w:rFonts w:hint="eastAsia"/>
          <w:spacing w:val="154"/>
          <w:highlight w:val="none"/>
          <w:lang w:val="en-US" w:eastAsia="zh-CN"/>
        </w:rPr>
        <w:t>133</w:t>
      </w:r>
      <w:r>
        <w:rPr>
          <w:rFonts w:ascii="Times New Roman" w:hAnsi="Times New Roman" w:eastAsia="Times New Roman"/>
          <w:highlight w:val="none"/>
        </w:rPr>
        <w:t>%</w:t>
      </w:r>
      <w:r>
        <w:rPr>
          <w:spacing w:val="-32"/>
          <w:highlight w:val="none"/>
        </w:rPr>
        <w:t>。决算数大于</w:t>
      </w:r>
      <w:r>
        <w:rPr>
          <w:highlight w:val="none"/>
        </w:rPr>
        <w:t>预算数的</w:t>
      </w:r>
      <w:r>
        <w:rPr>
          <w:rFonts w:hint="eastAsia" w:ascii="宋体" w:hAnsi="宋体" w:eastAsia="宋体" w:cs="宋体"/>
          <w:sz w:val="32"/>
          <w:szCs w:val="32"/>
          <w:highlight w:val="none"/>
          <w:lang w:val="en-US" w:eastAsia="zh-CN" w:bidi="zh-CN"/>
        </w:rPr>
        <w:t>主要原因是公积金基数上调。</w:t>
      </w:r>
    </w:p>
    <w:p>
      <w:pPr>
        <w:pStyle w:val="2"/>
        <w:spacing w:before="139" w:line="321" w:lineRule="auto"/>
        <w:ind w:left="120" w:right="436" w:firstLine="640"/>
        <w:jc w:val="both"/>
        <w:rPr>
          <w:rFonts w:hint="eastAsia" w:ascii="宋体" w:hAnsi="宋体" w:eastAsia="宋体" w:cs="宋体"/>
          <w:sz w:val="32"/>
          <w:szCs w:val="32"/>
          <w:highlight w:val="none"/>
          <w:lang w:val="en-US" w:eastAsia="zh-CN" w:bidi="zh-CN"/>
        </w:rPr>
      </w:pPr>
      <w:r>
        <w:rPr>
          <w:rFonts w:hint="eastAsia" w:ascii="宋体" w:hAnsi="宋体" w:eastAsia="宋体" w:cs="宋体"/>
          <w:sz w:val="32"/>
          <w:szCs w:val="32"/>
          <w:highlight w:val="none"/>
          <w:lang w:val="en-US" w:eastAsia="zh-CN" w:bidi="zh-CN"/>
        </w:rPr>
        <w:t>2.住房改革支出（款）提租补贴（项）支出</w:t>
      </w:r>
      <w:r>
        <w:rPr>
          <w:rFonts w:hint="eastAsia" w:cs="宋体"/>
          <w:sz w:val="32"/>
          <w:szCs w:val="32"/>
          <w:highlight w:val="none"/>
          <w:lang w:val="en-US" w:eastAsia="zh-CN" w:bidi="zh-CN"/>
        </w:rPr>
        <w:t>，</w:t>
      </w:r>
      <w:r>
        <w:rPr>
          <w:spacing w:val="-4"/>
          <w:highlight w:val="none"/>
        </w:rPr>
        <w:t>年初预算为</w:t>
      </w:r>
      <w:r>
        <w:rPr>
          <w:rFonts w:hint="eastAsia"/>
          <w:spacing w:val="22"/>
          <w:highlight w:val="none"/>
          <w:lang w:val="en-US" w:eastAsia="zh-CN"/>
        </w:rPr>
        <w:t>492.71</w:t>
      </w:r>
      <w:r>
        <w:rPr>
          <w:spacing w:val="22"/>
          <w:highlight w:val="none"/>
        </w:rPr>
        <w:t>万元，支</w:t>
      </w:r>
      <w:r>
        <w:rPr>
          <w:highlight w:val="none"/>
        </w:rPr>
        <w:t>出决算为</w:t>
      </w:r>
      <w:r>
        <w:rPr>
          <w:rFonts w:hint="eastAsia"/>
          <w:spacing w:val="4"/>
          <w:highlight w:val="none"/>
          <w:lang w:val="en-US" w:eastAsia="zh-CN"/>
        </w:rPr>
        <w:t>602.91</w:t>
      </w:r>
      <w:r>
        <w:rPr>
          <w:spacing w:val="4"/>
          <w:highlight w:val="none"/>
        </w:rPr>
        <w:t>万元，完成年初预算的</w:t>
      </w:r>
      <w:r>
        <w:rPr>
          <w:rFonts w:hint="eastAsia"/>
          <w:spacing w:val="154"/>
          <w:highlight w:val="none"/>
          <w:lang w:val="en-US" w:eastAsia="zh-CN"/>
        </w:rPr>
        <w:t>122</w:t>
      </w:r>
      <w:r>
        <w:rPr>
          <w:rFonts w:ascii="Times New Roman" w:hAnsi="Times New Roman" w:eastAsia="Times New Roman"/>
          <w:highlight w:val="none"/>
        </w:rPr>
        <w:t>%</w:t>
      </w:r>
      <w:r>
        <w:rPr>
          <w:spacing w:val="-32"/>
          <w:highlight w:val="none"/>
        </w:rPr>
        <w:t>。决算数大于</w:t>
      </w:r>
      <w:r>
        <w:rPr>
          <w:highlight w:val="none"/>
        </w:rPr>
        <w:t>预算数的</w:t>
      </w:r>
      <w:r>
        <w:rPr>
          <w:rFonts w:hint="eastAsia" w:ascii="宋体" w:hAnsi="宋体" w:eastAsia="宋体" w:cs="宋体"/>
          <w:sz w:val="32"/>
          <w:szCs w:val="32"/>
          <w:highlight w:val="none"/>
          <w:lang w:val="en-US" w:eastAsia="zh-CN" w:bidi="zh-CN"/>
        </w:rPr>
        <w:t>主要原因是房贴基数上调。</w:t>
      </w:r>
    </w:p>
    <w:p>
      <w:pPr>
        <w:pStyle w:val="2"/>
        <w:spacing w:before="160"/>
        <w:ind w:left="761"/>
        <w:rPr>
          <w:highlight w:val="none"/>
        </w:rPr>
      </w:pPr>
      <w:r>
        <w:rPr>
          <w:highlight w:val="none"/>
        </w:rPr>
        <w:t>六、财政拨款基本支出决算情况说明</w:t>
      </w:r>
    </w:p>
    <w:p>
      <w:pPr>
        <w:keepNext w:val="0"/>
        <w:keepLines w:val="0"/>
        <w:pageBreakBefore w:val="0"/>
        <w:widowControl w:val="0"/>
        <w:kinsoku/>
        <w:wordWrap/>
        <w:overflowPunct/>
        <w:topLinePunct w:val="0"/>
        <w:autoSpaceDE w:val="0"/>
        <w:autoSpaceDN w:val="0"/>
        <w:bidi w:val="0"/>
        <w:adjustRightInd/>
        <w:snapToGrid/>
        <w:spacing w:before="43" w:line="320" w:lineRule="auto"/>
        <w:ind w:right="431" w:firstLine="960" w:firstLineChars="300"/>
        <w:jc w:val="both"/>
        <w:textAlignment w:val="auto"/>
        <w:rPr>
          <w:color w:val="auto"/>
          <w:sz w:val="33"/>
          <w:highlight w:val="none"/>
        </w:rPr>
      </w:pPr>
      <w:r>
        <w:rPr>
          <w:rFonts w:hint="eastAsia" w:cs="宋体"/>
          <w:sz w:val="32"/>
          <w:szCs w:val="32"/>
          <w:highlight w:val="none"/>
          <w:lang w:val="en-US" w:eastAsia="zh-CN" w:bidi="zh-CN"/>
        </w:rPr>
        <w:t>连云港市海州区人民检察院</w:t>
      </w:r>
      <w:r>
        <w:rPr>
          <w:rFonts w:hint="eastAsia" w:ascii="宋体" w:hAnsi="宋体" w:eastAsia="宋体" w:cs="宋体"/>
          <w:sz w:val="32"/>
          <w:szCs w:val="32"/>
          <w:highlight w:val="none"/>
          <w:lang w:val="en-US" w:eastAsia="zh-CN" w:bidi="zh-CN"/>
        </w:rPr>
        <w:t>2020年度财政拨款基本支出</w:t>
      </w:r>
      <w:r>
        <w:rPr>
          <w:rFonts w:hint="eastAsia" w:ascii="宋体" w:hAnsi="宋体" w:eastAsia="宋体" w:cs="宋体"/>
          <w:color w:val="auto"/>
          <w:sz w:val="32"/>
          <w:szCs w:val="32"/>
          <w:highlight w:val="none"/>
          <w:lang w:val="en-US" w:eastAsia="zh-CN" w:bidi="zh-CN"/>
        </w:rPr>
        <w:t>4530.02万元，其中：</w:t>
      </w:r>
      <w:r>
        <w:rPr>
          <w:color w:val="auto"/>
          <w:sz w:val="32"/>
          <w:highlight w:val="none"/>
        </w:rPr>
        <w:t>（一</w:t>
      </w:r>
      <w:r>
        <w:rPr>
          <w:color w:val="auto"/>
          <w:spacing w:val="-3"/>
          <w:sz w:val="32"/>
          <w:highlight w:val="none"/>
        </w:rPr>
        <w:t>）</w:t>
      </w:r>
      <w:r>
        <w:rPr>
          <w:color w:val="auto"/>
          <w:sz w:val="32"/>
          <w:highlight w:val="none"/>
        </w:rPr>
        <w:t>人员经费</w:t>
      </w:r>
      <w:r>
        <w:rPr>
          <w:rFonts w:hint="eastAsia"/>
          <w:color w:val="auto"/>
          <w:spacing w:val="74"/>
          <w:sz w:val="32"/>
          <w:highlight w:val="none"/>
          <w:u w:val="single"/>
          <w:lang w:val="en-US" w:eastAsia="zh-CN"/>
        </w:rPr>
        <w:t>3441.35</w:t>
      </w:r>
      <w:r>
        <w:rPr>
          <w:color w:val="auto"/>
          <w:spacing w:val="-3"/>
          <w:sz w:val="32"/>
          <w:highlight w:val="none"/>
        </w:rPr>
        <w:t>万元。主要包括：基本工资</w:t>
      </w:r>
      <w:r>
        <w:rPr>
          <w:rFonts w:hint="eastAsia"/>
          <w:color w:val="auto"/>
          <w:spacing w:val="-3"/>
          <w:sz w:val="32"/>
          <w:highlight w:val="none"/>
          <w:lang w:val="en-US" w:eastAsia="zh-CN"/>
        </w:rPr>
        <w:t>485.87万元</w:t>
      </w:r>
      <w:r>
        <w:rPr>
          <w:color w:val="auto"/>
          <w:spacing w:val="-3"/>
          <w:sz w:val="32"/>
          <w:highlight w:val="none"/>
        </w:rPr>
        <w:t>、津贴补贴</w:t>
      </w:r>
      <w:r>
        <w:rPr>
          <w:rFonts w:hint="eastAsia"/>
          <w:color w:val="auto"/>
          <w:spacing w:val="-3"/>
          <w:sz w:val="32"/>
          <w:highlight w:val="none"/>
          <w:lang w:val="en-US" w:eastAsia="zh-CN"/>
        </w:rPr>
        <w:t>1272.66万元</w:t>
      </w:r>
      <w:r>
        <w:rPr>
          <w:color w:val="auto"/>
          <w:spacing w:val="-3"/>
          <w:sz w:val="32"/>
          <w:highlight w:val="none"/>
        </w:rPr>
        <w:t>、奖金</w:t>
      </w:r>
      <w:r>
        <w:rPr>
          <w:rFonts w:hint="eastAsia"/>
          <w:color w:val="auto"/>
          <w:spacing w:val="-3"/>
          <w:sz w:val="32"/>
          <w:highlight w:val="none"/>
          <w:lang w:val="en-US" w:eastAsia="zh-CN"/>
        </w:rPr>
        <w:t>650.46万元</w:t>
      </w:r>
      <w:r>
        <w:rPr>
          <w:color w:val="auto"/>
          <w:spacing w:val="-3"/>
          <w:sz w:val="32"/>
          <w:highlight w:val="none"/>
        </w:rPr>
        <w:t>、伙食补助费</w:t>
      </w:r>
      <w:r>
        <w:rPr>
          <w:rFonts w:hint="eastAsia"/>
          <w:color w:val="auto"/>
          <w:spacing w:val="-3"/>
          <w:sz w:val="32"/>
          <w:highlight w:val="none"/>
          <w:lang w:val="en-US" w:eastAsia="zh-CN"/>
        </w:rPr>
        <w:t>35.64万元</w:t>
      </w:r>
      <w:r>
        <w:rPr>
          <w:color w:val="auto"/>
          <w:spacing w:val="-3"/>
          <w:sz w:val="32"/>
          <w:highlight w:val="none"/>
        </w:rPr>
        <w:t>、</w:t>
      </w:r>
      <w:r>
        <w:rPr>
          <w:rFonts w:hint="eastAsia"/>
          <w:color w:val="auto"/>
          <w:spacing w:val="-3"/>
          <w:sz w:val="32"/>
          <w:highlight w:val="none"/>
          <w:lang w:val="en-US" w:eastAsia="zh-CN"/>
        </w:rPr>
        <w:t>机关事业单位基本养老保险缴费支出168.27万元、职业年金缴费82.74万元、职工基本医疗保险缴费61.55万元、公务员医疗补助缴费49.35万元、其他</w:t>
      </w:r>
      <w:r>
        <w:rPr>
          <w:color w:val="auto"/>
          <w:spacing w:val="-3"/>
          <w:sz w:val="32"/>
          <w:highlight w:val="none"/>
        </w:rPr>
        <w:t>社会保障缴费</w:t>
      </w:r>
      <w:r>
        <w:rPr>
          <w:rFonts w:hint="eastAsia"/>
          <w:color w:val="auto"/>
          <w:spacing w:val="-3"/>
          <w:sz w:val="32"/>
          <w:highlight w:val="none"/>
          <w:lang w:val="en-US" w:eastAsia="zh-CN"/>
        </w:rPr>
        <w:t>9.92万元、</w:t>
      </w:r>
      <w:r>
        <w:rPr>
          <w:color w:val="auto"/>
          <w:spacing w:val="-3"/>
          <w:sz w:val="32"/>
          <w:highlight w:val="none"/>
        </w:rPr>
        <w:t>住房公积金</w:t>
      </w:r>
      <w:r>
        <w:rPr>
          <w:rFonts w:hint="eastAsia"/>
          <w:color w:val="auto"/>
          <w:spacing w:val="-3"/>
          <w:sz w:val="32"/>
          <w:highlight w:val="none"/>
          <w:lang w:val="en-US" w:eastAsia="zh-CN"/>
        </w:rPr>
        <w:t>303.78万元、其他工资福利支出123.34万元</w:t>
      </w:r>
      <w:r>
        <w:rPr>
          <w:color w:val="auto"/>
          <w:spacing w:val="-3"/>
          <w:sz w:val="32"/>
          <w:highlight w:val="none"/>
        </w:rPr>
        <w:t>、</w:t>
      </w:r>
      <w:r>
        <w:rPr>
          <w:rFonts w:hint="eastAsia"/>
          <w:color w:val="auto"/>
          <w:spacing w:val="-3"/>
          <w:sz w:val="32"/>
          <w:highlight w:val="none"/>
          <w:lang w:val="en-US" w:eastAsia="zh-CN"/>
        </w:rPr>
        <w:t>离休费18.58万元、退休费179.2万元</w:t>
      </w:r>
      <w:r>
        <w:rPr>
          <w:color w:val="auto"/>
          <w:spacing w:val="-3"/>
          <w:sz w:val="32"/>
          <w:highlight w:val="none"/>
        </w:rPr>
        <w:t>。</w:t>
      </w:r>
    </w:p>
    <w:p>
      <w:pPr>
        <w:pStyle w:val="2"/>
        <w:keepNext w:val="0"/>
        <w:keepLines w:val="0"/>
        <w:pageBreakBefore w:val="0"/>
        <w:widowControl w:val="0"/>
        <w:tabs>
          <w:tab w:val="left" w:pos="3435"/>
        </w:tabs>
        <w:kinsoku/>
        <w:wordWrap/>
        <w:overflowPunct/>
        <w:topLinePunct w:val="0"/>
        <w:autoSpaceDE w:val="0"/>
        <w:autoSpaceDN w:val="0"/>
        <w:bidi w:val="0"/>
        <w:adjustRightInd/>
        <w:snapToGrid/>
        <w:spacing w:line="320" w:lineRule="auto"/>
        <w:ind w:left="119" w:right="283" w:firstLine="641"/>
        <w:jc w:val="both"/>
        <w:textAlignment w:val="auto"/>
        <w:rPr>
          <w:color w:val="auto"/>
          <w:sz w:val="33"/>
          <w:highlight w:val="none"/>
        </w:rPr>
      </w:pPr>
      <w:r>
        <w:rPr>
          <w:color w:val="auto"/>
          <w:highlight w:val="none"/>
        </w:rPr>
        <w:t>（二</w:t>
      </w:r>
      <w:r>
        <w:rPr>
          <w:color w:val="auto"/>
          <w:spacing w:val="-44"/>
          <w:highlight w:val="none"/>
        </w:rPr>
        <w:t>）</w:t>
      </w:r>
      <w:r>
        <w:rPr>
          <w:color w:val="auto"/>
          <w:highlight w:val="none"/>
        </w:rPr>
        <w:t>公用经</w:t>
      </w:r>
      <w:r>
        <w:rPr>
          <w:color w:val="auto"/>
          <w:spacing w:val="3"/>
          <w:highlight w:val="none"/>
        </w:rPr>
        <w:t>费</w:t>
      </w:r>
      <w:r>
        <w:rPr>
          <w:rFonts w:hint="eastAsia"/>
          <w:color w:val="auto"/>
          <w:spacing w:val="3"/>
          <w:highlight w:val="none"/>
          <w:u w:val="single"/>
          <w:lang w:val="en-US" w:eastAsia="zh-CN"/>
        </w:rPr>
        <w:t>1088.67</w:t>
      </w:r>
      <w:r>
        <w:rPr>
          <w:color w:val="auto"/>
          <w:highlight w:val="none"/>
        </w:rPr>
        <w:t>万元</w:t>
      </w:r>
      <w:r>
        <w:rPr>
          <w:color w:val="auto"/>
          <w:spacing w:val="-41"/>
          <w:highlight w:val="none"/>
        </w:rPr>
        <w:t>。</w:t>
      </w:r>
      <w:r>
        <w:rPr>
          <w:color w:val="auto"/>
          <w:highlight w:val="none"/>
        </w:rPr>
        <w:t>主要包括</w:t>
      </w:r>
      <w:r>
        <w:rPr>
          <w:color w:val="auto"/>
          <w:spacing w:val="-44"/>
          <w:highlight w:val="none"/>
        </w:rPr>
        <w:t>：</w:t>
      </w:r>
      <w:r>
        <w:rPr>
          <w:color w:val="auto"/>
          <w:highlight w:val="none"/>
        </w:rPr>
        <w:t>办公费</w:t>
      </w:r>
      <w:r>
        <w:rPr>
          <w:rFonts w:hint="eastAsia"/>
          <w:color w:val="auto"/>
          <w:highlight w:val="none"/>
          <w:lang w:val="en-US" w:eastAsia="zh-CN"/>
        </w:rPr>
        <w:t>152.05万元</w:t>
      </w:r>
      <w:r>
        <w:rPr>
          <w:color w:val="auto"/>
          <w:spacing w:val="-44"/>
          <w:highlight w:val="none"/>
        </w:rPr>
        <w:t>、</w:t>
      </w:r>
      <w:r>
        <w:rPr>
          <w:color w:val="auto"/>
          <w:highlight w:val="none"/>
        </w:rPr>
        <w:t>印刷费</w:t>
      </w:r>
      <w:r>
        <w:rPr>
          <w:rFonts w:hint="eastAsia"/>
          <w:color w:val="auto"/>
          <w:highlight w:val="none"/>
          <w:lang w:val="en-US" w:eastAsia="zh-CN"/>
        </w:rPr>
        <w:t>3.45万元、</w:t>
      </w:r>
      <w:r>
        <w:rPr>
          <w:color w:val="auto"/>
          <w:highlight w:val="none"/>
        </w:rPr>
        <w:t>水费</w:t>
      </w:r>
      <w:r>
        <w:rPr>
          <w:rFonts w:hint="eastAsia"/>
          <w:color w:val="auto"/>
          <w:highlight w:val="none"/>
          <w:lang w:val="en-US" w:eastAsia="zh-CN"/>
        </w:rPr>
        <w:t>1.73万元</w:t>
      </w:r>
      <w:r>
        <w:rPr>
          <w:color w:val="auto"/>
          <w:highlight w:val="none"/>
        </w:rPr>
        <w:t>、电费</w:t>
      </w:r>
      <w:r>
        <w:rPr>
          <w:rFonts w:hint="eastAsia"/>
          <w:color w:val="auto"/>
          <w:highlight w:val="none"/>
          <w:lang w:val="en-US" w:eastAsia="zh-CN"/>
        </w:rPr>
        <w:t>26.67万元</w:t>
      </w:r>
      <w:r>
        <w:rPr>
          <w:color w:val="auto"/>
          <w:spacing w:val="-3"/>
          <w:highlight w:val="none"/>
        </w:rPr>
        <w:t>、</w:t>
      </w:r>
      <w:r>
        <w:rPr>
          <w:color w:val="auto"/>
          <w:highlight w:val="none"/>
        </w:rPr>
        <w:t>邮电费</w:t>
      </w:r>
      <w:r>
        <w:rPr>
          <w:rFonts w:hint="eastAsia"/>
          <w:color w:val="auto"/>
          <w:highlight w:val="none"/>
          <w:lang w:val="en-US" w:eastAsia="zh-CN"/>
        </w:rPr>
        <w:t>46.87万元</w:t>
      </w:r>
      <w:r>
        <w:rPr>
          <w:color w:val="auto"/>
          <w:highlight w:val="none"/>
        </w:rPr>
        <w:t>、物业管理费</w:t>
      </w:r>
      <w:r>
        <w:rPr>
          <w:rFonts w:hint="eastAsia"/>
          <w:color w:val="auto"/>
          <w:highlight w:val="none"/>
          <w:lang w:val="en-US" w:eastAsia="zh-CN"/>
        </w:rPr>
        <w:t>17.25万元</w:t>
      </w:r>
      <w:r>
        <w:rPr>
          <w:color w:val="auto"/>
          <w:spacing w:val="-3"/>
          <w:highlight w:val="none"/>
        </w:rPr>
        <w:t>、</w:t>
      </w:r>
      <w:r>
        <w:rPr>
          <w:color w:val="auto"/>
          <w:highlight w:val="none"/>
        </w:rPr>
        <w:t>差旅费</w:t>
      </w:r>
      <w:r>
        <w:rPr>
          <w:rFonts w:hint="eastAsia"/>
          <w:color w:val="auto"/>
          <w:highlight w:val="none"/>
          <w:lang w:val="en-US" w:eastAsia="zh-CN"/>
        </w:rPr>
        <w:t>22.9万元</w:t>
      </w:r>
      <w:r>
        <w:rPr>
          <w:color w:val="auto"/>
          <w:spacing w:val="-3"/>
          <w:highlight w:val="none"/>
        </w:rPr>
        <w:t>、</w:t>
      </w:r>
      <w:r>
        <w:rPr>
          <w:color w:val="auto"/>
          <w:highlight w:val="none"/>
        </w:rPr>
        <w:t>维修（护</w:t>
      </w:r>
      <w:r>
        <w:rPr>
          <w:color w:val="auto"/>
          <w:spacing w:val="-3"/>
          <w:highlight w:val="none"/>
        </w:rPr>
        <w:t>）</w:t>
      </w:r>
      <w:r>
        <w:rPr>
          <w:color w:val="auto"/>
          <w:highlight w:val="none"/>
        </w:rPr>
        <w:t>费</w:t>
      </w:r>
      <w:r>
        <w:rPr>
          <w:rFonts w:hint="eastAsia"/>
          <w:color w:val="auto"/>
          <w:highlight w:val="none"/>
          <w:lang w:val="en-US" w:eastAsia="zh-CN"/>
        </w:rPr>
        <w:t>119.35万元</w:t>
      </w:r>
      <w:r>
        <w:rPr>
          <w:color w:val="auto"/>
          <w:spacing w:val="-3"/>
          <w:highlight w:val="none"/>
        </w:rPr>
        <w:t>、</w:t>
      </w:r>
      <w:r>
        <w:rPr>
          <w:color w:val="auto"/>
          <w:highlight w:val="none"/>
        </w:rPr>
        <w:t>会议费</w:t>
      </w:r>
      <w:r>
        <w:rPr>
          <w:rFonts w:hint="eastAsia"/>
          <w:color w:val="auto"/>
          <w:highlight w:val="none"/>
          <w:lang w:val="en-US" w:eastAsia="zh-CN"/>
        </w:rPr>
        <w:t>0.18万元</w:t>
      </w:r>
      <w:r>
        <w:rPr>
          <w:color w:val="auto"/>
          <w:spacing w:val="-3"/>
          <w:highlight w:val="none"/>
        </w:rPr>
        <w:t>、</w:t>
      </w:r>
      <w:r>
        <w:rPr>
          <w:color w:val="auto"/>
          <w:highlight w:val="none"/>
        </w:rPr>
        <w:t>培训费</w:t>
      </w:r>
      <w:r>
        <w:rPr>
          <w:rFonts w:hint="eastAsia"/>
          <w:color w:val="auto"/>
          <w:highlight w:val="none"/>
          <w:lang w:val="en-US" w:eastAsia="zh-CN"/>
        </w:rPr>
        <w:t>4.68万元</w:t>
      </w:r>
      <w:r>
        <w:rPr>
          <w:color w:val="auto"/>
          <w:spacing w:val="-3"/>
          <w:highlight w:val="none"/>
        </w:rPr>
        <w:t>、</w:t>
      </w:r>
      <w:r>
        <w:rPr>
          <w:color w:val="auto"/>
          <w:spacing w:val="7"/>
          <w:w w:val="95"/>
          <w:highlight w:val="none"/>
        </w:rPr>
        <w:t>劳</w:t>
      </w:r>
      <w:r>
        <w:rPr>
          <w:color w:val="auto"/>
          <w:spacing w:val="4"/>
          <w:w w:val="95"/>
          <w:highlight w:val="none"/>
        </w:rPr>
        <w:t>务费</w:t>
      </w:r>
      <w:r>
        <w:rPr>
          <w:rFonts w:hint="eastAsia"/>
          <w:color w:val="auto"/>
          <w:spacing w:val="4"/>
          <w:w w:val="95"/>
          <w:highlight w:val="none"/>
          <w:lang w:val="en-US" w:eastAsia="zh-CN"/>
        </w:rPr>
        <w:t>189.83</w:t>
      </w:r>
      <w:r>
        <w:rPr>
          <w:rFonts w:hint="eastAsia"/>
          <w:color w:val="auto"/>
          <w:highlight w:val="none"/>
          <w:lang w:val="en-US" w:eastAsia="zh-CN"/>
        </w:rPr>
        <w:t>万元</w:t>
      </w:r>
      <w:r>
        <w:rPr>
          <w:color w:val="auto"/>
          <w:spacing w:val="7"/>
          <w:w w:val="95"/>
          <w:highlight w:val="none"/>
        </w:rPr>
        <w:t>、委托业务</w:t>
      </w:r>
      <w:r>
        <w:rPr>
          <w:color w:val="auto"/>
          <w:spacing w:val="4"/>
          <w:w w:val="95"/>
          <w:highlight w:val="none"/>
        </w:rPr>
        <w:t>费</w:t>
      </w:r>
      <w:r>
        <w:rPr>
          <w:rFonts w:hint="eastAsia"/>
          <w:color w:val="auto"/>
          <w:spacing w:val="4"/>
          <w:w w:val="95"/>
          <w:highlight w:val="none"/>
          <w:lang w:val="en-US" w:eastAsia="zh-CN"/>
        </w:rPr>
        <w:t>50</w:t>
      </w:r>
      <w:r>
        <w:rPr>
          <w:rFonts w:hint="eastAsia"/>
          <w:color w:val="auto"/>
          <w:highlight w:val="none"/>
          <w:lang w:val="en-US" w:eastAsia="zh-CN"/>
        </w:rPr>
        <w:t>万元</w:t>
      </w:r>
      <w:r>
        <w:rPr>
          <w:color w:val="auto"/>
          <w:spacing w:val="4"/>
          <w:w w:val="95"/>
          <w:highlight w:val="none"/>
        </w:rPr>
        <w:t>、</w:t>
      </w:r>
      <w:r>
        <w:rPr>
          <w:color w:val="auto"/>
          <w:spacing w:val="7"/>
          <w:w w:val="95"/>
          <w:highlight w:val="none"/>
        </w:rPr>
        <w:t>工会经费</w:t>
      </w:r>
      <w:r>
        <w:rPr>
          <w:rFonts w:hint="eastAsia"/>
          <w:color w:val="auto"/>
          <w:spacing w:val="7"/>
          <w:w w:val="95"/>
          <w:highlight w:val="none"/>
          <w:lang w:val="en-US" w:eastAsia="zh-CN"/>
        </w:rPr>
        <w:t>40.2</w:t>
      </w:r>
      <w:r>
        <w:rPr>
          <w:rFonts w:hint="eastAsia"/>
          <w:color w:val="auto"/>
          <w:highlight w:val="none"/>
          <w:lang w:val="en-US" w:eastAsia="zh-CN"/>
        </w:rPr>
        <w:t>万元</w:t>
      </w:r>
      <w:r>
        <w:rPr>
          <w:color w:val="auto"/>
          <w:spacing w:val="-14"/>
          <w:w w:val="95"/>
          <w:highlight w:val="none"/>
        </w:rPr>
        <w:t xml:space="preserve">、 </w:t>
      </w:r>
      <w:r>
        <w:rPr>
          <w:color w:val="auto"/>
          <w:highlight w:val="none"/>
        </w:rPr>
        <w:t>公务用车运行维护费</w:t>
      </w:r>
      <w:r>
        <w:rPr>
          <w:rFonts w:hint="eastAsia"/>
          <w:color w:val="auto"/>
          <w:highlight w:val="none"/>
          <w:lang w:val="en-US" w:eastAsia="zh-CN"/>
        </w:rPr>
        <w:t>24.53万元</w:t>
      </w:r>
      <w:r>
        <w:rPr>
          <w:color w:val="auto"/>
          <w:spacing w:val="-5"/>
          <w:highlight w:val="none"/>
        </w:rPr>
        <w:t>、</w:t>
      </w:r>
      <w:r>
        <w:rPr>
          <w:color w:val="auto"/>
          <w:highlight w:val="none"/>
        </w:rPr>
        <w:t>其他商品和服务支出</w:t>
      </w:r>
      <w:r>
        <w:rPr>
          <w:rFonts w:hint="eastAsia"/>
          <w:color w:val="auto"/>
          <w:highlight w:val="none"/>
          <w:lang w:val="en-US" w:eastAsia="zh-CN"/>
        </w:rPr>
        <w:t>113.87万元</w:t>
      </w:r>
      <w:r>
        <w:rPr>
          <w:color w:val="auto"/>
          <w:spacing w:val="-5"/>
          <w:highlight w:val="none"/>
        </w:rPr>
        <w:t>、</w:t>
      </w:r>
      <w:r>
        <w:rPr>
          <w:color w:val="auto"/>
          <w:highlight w:val="none"/>
        </w:rPr>
        <w:t>办公设备购置</w:t>
      </w:r>
      <w:r>
        <w:rPr>
          <w:rFonts w:hint="eastAsia"/>
          <w:color w:val="auto"/>
          <w:highlight w:val="none"/>
          <w:lang w:val="en-US" w:eastAsia="zh-CN"/>
        </w:rPr>
        <w:t>16.67万元</w:t>
      </w:r>
      <w:r>
        <w:rPr>
          <w:color w:val="auto"/>
          <w:spacing w:val="-5"/>
          <w:highlight w:val="none"/>
        </w:rPr>
        <w:t>、</w:t>
      </w:r>
      <w:r>
        <w:rPr>
          <w:color w:val="auto"/>
          <w:highlight w:val="none"/>
        </w:rPr>
        <w:t>专用设备购置</w:t>
      </w:r>
      <w:r>
        <w:rPr>
          <w:rFonts w:hint="eastAsia"/>
          <w:color w:val="auto"/>
          <w:highlight w:val="none"/>
          <w:lang w:val="en-US" w:eastAsia="zh-CN"/>
        </w:rPr>
        <w:t>154.11万元</w:t>
      </w:r>
      <w:r>
        <w:rPr>
          <w:color w:val="auto"/>
          <w:spacing w:val="-5"/>
          <w:highlight w:val="none"/>
        </w:rPr>
        <w:t>、</w:t>
      </w:r>
      <w:r>
        <w:rPr>
          <w:color w:val="auto"/>
          <w:highlight w:val="none"/>
        </w:rPr>
        <w:t>信息网络及软件购置更新</w:t>
      </w:r>
      <w:r>
        <w:rPr>
          <w:rFonts w:hint="eastAsia"/>
          <w:color w:val="auto"/>
          <w:highlight w:val="none"/>
          <w:lang w:val="en-US" w:eastAsia="zh-CN"/>
        </w:rPr>
        <w:t>82.68万元</w:t>
      </w:r>
      <w:r>
        <w:rPr>
          <w:color w:val="auto"/>
          <w:spacing w:val="-8"/>
          <w:highlight w:val="none"/>
        </w:rPr>
        <w:t>、</w:t>
      </w:r>
      <w:r>
        <w:rPr>
          <w:rFonts w:hint="eastAsia"/>
          <w:color w:val="auto"/>
          <w:spacing w:val="-8"/>
          <w:highlight w:val="none"/>
          <w:lang w:val="en-US" w:eastAsia="zh-CN"/>
        </w:rPr>
        <w:t>公车购置21.64</w:t>
      </w:r>
      <w:r>
        <w:rPr>
          <w:rFonts w:hint="eastAsia"/>
          <w:color w:val="auto"/>
          <w:highlight w:val="none"/>
          <w:lang w:val="en-US" w:eastAsia="zh-CN"/>
        </w:rPr>
        <w:t>万元</w:t>
      </w:r>
      <w:r>
        <w:rPr>
          <w:color w:val="auto"/>
          <w:spacing w:val="-20"/>
          <w:highlight w:val="none"/>
        </w:rPr>
        <w:t>。</w:t>
      </w:r>
    </w:p>
    <w:p>
      <w:pPr>
        <w:pStyle w:val="2"/>
        <w:ind w:left="761"/>
        <w:rPr>
          <w:highlight w:val="none"/>
        </w:rPr>
      </w:pPr>
      <w:r>
        <w:rPr>
          <w:highlight w:val="none"/>
        </w:rPr>
        <w:t>七、一般公共预算财政拨款支出决算情况说明</w:t>
      </w:r>
    </w:p>
    <w:p>
      <w:pPr>
        <w:pStyle w:val="2"/>
        <w:spacing w:before="43" w:line="321" w:lineRule="auto"/>
        <w:ind w:left="120" w:right="439"/>
        <w:rPr>
          <w:highlight w:val="none"/>
        </w:rPr>
      </w:pPr>
      <w:r>
        <w:rPr>
          <w:rFonts w:hint="eastAsia" w:ascii="宋体" w:hAnsi="宋体" w:eastAsia="宋体" w:cs="宋体"/>
          <w:sz w:val="32"/>
          <w:szCs w:val="32"/>
          <w:highlight w:val="none"/>
          <w:lang w:val="zh-CN" w:eastAsia="zh-CN" w:bidi="zh-CN"/>
        </w:rPr>
        <w:t>一般公共预算财政拨款支出决算反映的是一般公共预 算财政拨款支出的总体情况，既包括使用本年从本级财政取得的一般公共预算财政拨款发生的支出，也包括使用上年度一般公共预算财政拨款结转和结余资金发生的支出。</w:t>
      </w:r>
      <w:r>
        <w:rPr>
          <w:rFonts w:hint="eastAsia" w:cs="宋体"/>
          <w:sz w:val="32"/>
          <w:szCs w:val="32"/>
          <w:highlight w:val="none"/>
          <w:lang w:val="zh-CN" w:eastAsia="zh-CN" w:bidi="zh-CN"/>
        </w:rPr>
        <w:t>连云港市海州区人民检察院</w:t>
      </w:r>
      <w:r>
        <w:rPr>
          <w:rFonts w:hint="eastAsia" w:ascii="宋体" w:hAnsi="宋体" w:eastAsia="宋体" w:cs="宋体"/>
          <w:sz w:val="32"/>
          <w:szCs w:val="32"/>
          <w:highlight w:val="none"/>
          <w:lang w:val="zh-CN" w:eastAsia="zh-CN" w:bidi="zh-CN"/>
        </w:rPr>
        <w:t>2020年一般公共预算财政拨款支出</w:t>
      </w:r>
      <w:r>
        <w:rPr>
          <w:rFonts w:hint="eastAsia" w:ascii="宋体" w:hAnsi="宋体" w:eastAsia="宋体" w:cs="宋体"/>
          <w:sz w:val="32"/>
          <w:szCs w:val="32"/>
          <w:highlight w:val="none"/>
          <w:lang w:val="en-US" w:eastAsia="zh-CN" w:bidi="zh-CN"/>
        </w:rPr>
        <w:t>4530.02</w:t>
      </w:r>
      <w:r>
        <w:rPr>
          <w:rFonts w:hint="eastAsia" w:ascii="宋体" w:hAnsi="宋体" w:eastAsia="宋体" w:cs="宋体"/>
          <w:sz w:val="32"/>
          <w:szCs w:val="32"/>
          <w:highlight w:val="none"/>
          <w:lang w:val="zh-CN" w:eastAsia="zh-CN" w:bidi="zh-CN"/>
        </w:rPr>
        <w:t>万元，与上年相比增加</w:t>
      </w:r>
      <w:r>
        <w:rPr>
          <w:rFonts w:hint="eastAsia" w:ascii="宋体" w:hAnsi="宋体" w:eastAsia="宋体" w:cs="宋体"/>
          <w:sz w:val="32"/>
          <w:szCs w:val="32"/>
          <w:highlight w:val="none"/>
          <w:lang w:val="en-US" w:eastAsia="zh-CN" w:bidi="zh-CN"/>
        </w:rPr>
        <w:t>360.93</w:t>
      </w:r>
      <w:r>
        <w:rPr>
          <w:rFonts w:hint="eastAsia" w:ascii="宋体" w:hAnsi="宋体" w:eastAsia="宋体" w:cs="宋体"/>
          <w:sz w:val="32"/>
          <w:szCs w:val="32"/>
          <w:highlight w:val="none"/>
          <w:lang w:val="zh-CN" w:eastAsia="zh-CN" w:bidi="zh-CN"/>
        </w:rPr>
        <w:t>万元，增长</w:t>
      </w:r>
      <w:r>
        <w:rPr>
          <w:rFonts w:hint="eastAsia" w:ascii="宋体" w:hAnsi="宋体" w:eastAsia="宋体" w:cs="宋体"/>
          <w:sz w:val="32"/>
          <w:szCs w:val="32"/>
          <w:highlight w:val="none"/>
          <w:lang w:val="en-US" w:eastAsia="zh-CN" w:bidi="zh-CN"/>
        </w:rPr>
        <w:t>8.66</w:t>
      </w:r>
      <w:r>
        <w:rPr>
          <w:rFonts w:hint="eastAsia" w:ascii="宋体" w:hAnsi="宋体" w:eastAsia="宋体" w:cs="宋体"/>
          <w:sz w:val="32"/>
          <w:szCs w:val="32"/>
          <w:highlight w:val="none"/>
          <w:lang w:val="zh-CN" w:eastAsia="zh-CN" w:bidi="zh-CN"/>
        </w:rPr>
        <w:t>%。</w:t>
      </w:r>
      <w:r>
        <w:rPr>
          <w:rFonts w:hint="eastAsia" w:ascii="宋体" w:hAnsi="宋体" w:eastAsia="宋体" w:cs="宋体"/>
          <w:sz w:val="32"/>
          <w:szCs w:val="32"/>
          <w:highlight w:val="yellow"/>
          <w:lang w:val="zh-CN" w:eastAsia="zh-CN" w:bidi="zh-CN"/>
        </w:rPr>
        <w:t>主要原因是</w:t>
      </w:r>
      <w:r>
        <w:rPr>
          <w:sz w:val="32"/>
          <w:highlight w:val="yellow"/>
        </w:rPr>
        <w:t>人员</w:t>
      </w:r>
      <w:r>
        <w:rPr>
          <w:rFonts w:hint="eastAsia"/>
          <w:sz w:val="32"/>
          <w:highlight w:val="yellow"/>
          <w:lang w:val="en-US" w:eastAsia="zh-CN"/>
        </w:rPr>
        <w:t>房贴和公积金的基数增加</w:t>
      </w:r>
      <w:r>
        <w:rPr>
          <w:rFonts w:hint="eastAsia"/>
          <w:sz w:val="32"/>
          <w:highlight w:val="none"/>
          <w:lang w:val="en-US" w:eastAsia="zh-CN"/>
        </w:rPr>
        <w:t>。</w:t>
      </w:r>
    </w:p>
    <w:p>
      <w:pPr>
        <w:pStyle w:val="2"/>
        <w:spacing w:before="4"/>
        <w:rPr>
          <w:highlight w:val="none"/>
        </w:rPr>
      </w:pPr>
      <w:r>
        <w:rPr>
          <w:highlight w:val="none"/>
        </w:rPr>
        <w:t>八、一般公共预算财政拨款基本支出决算情况说明</w:t>
      </w:r>
    </w:p>
    <w:p>
      <w:pPr>
        <w:pStyle w:val="2"/>
        <w:tabs>
          <w:tab w:val="left" w:pos="8106"/>
        </w:tabs>
        <w:spacing w:before="140" w:line="321" w:lineRule="auto"/>
        <w:ind w:left="120" w:right="438" w:firstLine="640"/>
        <w:rPr>
          <w:highlight w:val="none"/>
        </w:rPr>
      </w:pPr>
      <w:r>
        <w:rPr>
          <w:rFonts w:hint="eastAsia" w:ascii="Times New Roman"/>
          <w:highlight w:val="none"/>
          <w:u w:val="single"/>
          <w:lang w:eastAsia="zh-CN"/>
        </w:rPr>
        <w:t>连云港市海州区人民检察院</w:t>
      </w:r>
      <w:r>
        <w:rPr>
          <w:rFonts w:ascii="Times New Roman" w:eastAsia="Times New Roman"/>
          <w:highlight w:val="none"/>
        </w:rPr>
        <w:t>2020</w:t>
      </w:r>
      <w:r>
        <w:rPr>
          <w:highlight w:val="none"/>
        </w:rPr>
        <w:t>年度一般公共预算财政拨款基本支</w:t>
      </w:r>
      <w:r>
        <w:rPr>
          <w:spacing w:val="4"/>
          <w:highlight w:val="none"/>
        </w:rPr>
        <w:t>出</w:t>
      </w:r>
      <w:r>
        <w:rPr>
          <w:spacing w:val="4"/>
          <w:highlight w:val="none"/>
          <w:u w:val="single"/>
        </w:rPr>
        <w:t xml:space="preserve"> </w:t>
      </w:r>
      <w:r>
        <w:rPr>
          <w:rFonts w:hint="eastAsia"/>
          <w:spacing w:val="3"/>
          <w:highlight w:val="none"/>
          <w:u w:val="single"/>
          <w:lang w:val="en-US" w:eastAsia="zh-CN"/>
        </w:rPr>
        <w:t>4530.02</w:t>
      </w:r>
      <w:r>
        <w:rPr>
          <w:spacing w:val="-17"/>
          <w:highlight w:val="none"/>
        </w:rPr>
        <w:t>万</w:t>
      </w:r>
      <w:r>
        <w:rPr>
          <w:highlight w:val="none"/>
        </w:rPr>
        <w:t>元，其中：</w:t>
      </w:r>
    </w:p>
    <w:p>
      <w:pPr>
        <w:pStyle w:val="2"/>
        <w:keepNext w:val="0"/>
        <w:keepLines w:val="0"/>
        <w:pageBreakBefore w:val="0"/>
        <w:widowControl w:val="0"/>
        <w:tabs>
          <w:tab w:val="left" w:pos="3435"/>
        </w:tabs>
        <w:kinsoku/>
        <w:wordWrap/>
        <w:overflowPunct/>
        <w:topLinePunct w:val="0"/>
        <w:autoSpaceDE w:val="0"/>
        <w:autoSpaceDN w:val="0"/>
        <w:bidi w:val="0"/>
        <w:adjustRightInd/>
        <w:snapToGrid/>
        <w:spacing w:line="320" w:lineRule="auto"/>
        <w:ind w:left="119" w:right="283" w:firstLine="641"/>
        <w:jc w:val="both"/>
        <w:textAlignment w:val="auto"/>
        <w:rPr>
          <w:sz w:val="33"/>
          <w:highlight w:val="none"/>
        </w:rPr>
      </w:pPr>
      <w:r>
        <w:rPr>
          <w:sz w:val="32"/>
          <w:highlight w:val="none"/>
        </w:rPr>
        <w:t>（一</w:t>
      </w:r>
      <w:r>
        <w:rPr>
          <w:spacing w:val="-3"/>
          <w:sz w:val="32"/>
          <w:highlight w:val="none"/>
        </w:rPr>
        <w:t>）</w:t>
      </w:r>
      <w:r>
        <w:rPr>
          <w:sz w:val="32"/>
          <w:highlight w:val="none"/>
        </w:rPr>
        <w:t>人员经费</w:t>
      </w:r>
      <w:r>
        <w:rPr>
          <w:rFonts w:hint="eastAsia"/>
          <w:spacing w:val="74"/>
          <w:sz w:val="32"/>
          <w:highlight w:val="none"/>
          <w:u w:val="single"/>
          <w:lang w:val="en-US" w:eastAsia="zh-CN"/>
        </w:rPr>
        <w:t>3441.35</w:t>
      </w:r>
      <w:r>
        <w:rPr>
          <w:spacing w:val="-3"/>
          <w:sz w:val="32"/>
          <w:highlight w:val="none"/>
        </w:rPr>
        <w:t>万元。主要包括：基本工资</w:t>
      </w:r>
      <w:r>
        <w:rPr>
          <w:rFonts w:hint="eastAsia"/>
          <w:spacing w:val="-3"/>
          <w:sz w:val="32"/>
          <w:highlight w:val="none"/>
          <w:lang w:val="en-US" w:eastAsia="zh-CN"/>
        </w:rPr>
        <w:t>485.87万元</w:t>
      </w:r>
      <w:r>
        <w:rPr>
          <w:spacing w:val="-3"/>
          <w:sz w:val="32"/>
          <w:highlight w:val="none"/>
        </w:rPr>
        <w:t>、津贴补贴</w:t>
      </w:r>
      <w:r>
        <w:rPr>
          <w:rFonts w:hint="eastAsia"/>
          <w:spacing w:val="-3"/>
          <w:sz w:val="32"/>
          <w:highlight w:val="none"/>
          <w:lang w:val="en-US" w:eastAsia="zh-CN"/>
        </w:rPr>
        <w:t>1272.66万元</w:t>
      </w:r>
      <w:r>
        <w:rPr>
          <w:spacing w:val="-3"/>
          <w:sz w:val="32"/>
          <w:highlight w:val="none"/>
        </w:rPr>
        <w:t>、奖金</w:t>
      </w:r>
      <w:r>
        <w:rPr>
          <w:rFonts w:hint="eastAsia"/>
          <w:spacing w:val="-3"/>
          <w:sz w:val="32"/>
          <w:highlight w:val="none"/>
          <w:lang w:val="en-US" w:eastAsia="zh-CN"/>
        </w:rPr>
        <w:t>650.46万元</w:t>
      </w:r>
      <w:r>
        <w:rPr>
          <w:spacing w:val="-3"/>
          <w:sz w:val="32"/>
          <w:highlight w:val="none"/>
        </w:rPr>
        <w:t>、伙食补助费</w:t>
      </w:r>
      <w:r>
        <w:rPr>
          <w:rFonts w:hint="eastAsia"/>
          <w:spacing w:val="-3"/>
          <w:sz w:val="32"/>
          <w:highlight w:val="none"/>
          <w:lang w:val="en-US" w:eastAsia="zh-CN"/>
        </w:rPr>
        <w:t>35.64万元</w:t>
      </w:r>
      <w:r>
        <w:rPr>
          <w:spacing w:val="-3"/>
          <w:sz w:val="32"/>
          <w:highlight w:val="none"/>
        </w:rPr>
        <w:t>、</w:t>
      </w:r>
      <w:r>
        <w:rPr>
          <w:rFonts w:hint="eastAsia"/>
          <w:spacing w:val="-3"/>
          <w:sz w:val="32"/>
          <w:highlight w:val="none"/>
          <w:lang w:val="en-US" w:eastAsia="zh-CN"/>
        </w:rPr>
        <w:t>机关事业单位基本养老保险缴费支出168.27万元、职业年金缴费82.74万元、职工基本医疗保险缴费61.55万元、公务员医疗补助缴费49.35万元、其他</w:t>
      </w:r>
      <w:r>
        <w:rPr>
          <w:spacing w:val="-3"/>
          <w:sz w:val="32"/>
          <w:highlight w:val="none"/>
        </w:rPr>
        <w:t>社会保障缴费</w:t>
      </w:r>
      <w:r>
        <w:rPr>
          <w:rFonts w:hint="eastAsia"/>
          <w:spacing w:val="-3"/>
          <w:sz w:val="32"/>
          <w:highlight w:val="none"/>
          <w:lang w:val="en-US" w:eastAsia="zh-CN"/>
        </w:rPr>
        <w:t>9.92万元、</w:t>
      </w:r>
      <w:r>
        <w:rPr>
          <w:spacing w:val="-3"/>
          <w:sz w:val="32"/>
          <w:highlight w:val="none"/>
        </w:rPr>
        <w:t>住房公积金</w:t>
      </w:r>
      <w:r>
        <w:rPr>
          <w:rFonts w:hint="eastAsia"/>
          <w:spacing w:val="-3"/>
          <w:sz w:val="32"/>
          <w:highlight w:val="none"/>
          <w:lang w:val="en-US" w:eastAsia="zh-CN"/>
        </w:rPr>
        <w:t>303.78万元、其他工资福利支出123.34万元</w:t>
      </w:r>
      <w:r>
        <w:rPr>
          <w:spacing w:val="-3"/>
          <w:sz w:val="32"/>
          <w:highlight w:val="none"/>
        </w:rPr>
        <w:t>、</w:t>
      </w:r>
      <w:r>
        <w:rPr>
          <w:rFonts w:hint="eastAsia"/>
          <w:spacing w:val="-3"/>
          <w:sz w:val="32"/>
          <w:highlight w:val="none"/>
          <w:lang w:val="en-US" w:eastAsia="zh-CN"/>
        </w:rPr>
        <w:t>离休费18.58万元、退休费179.2万元</w:t>
      </w:r>
      <w:r>
        <w:rPr>
          <w:spacing w:val="-3"/>
          <w:sz w:val="32"/>
          <w:highlight w:val="none"/>
        </w:rPr>
        <w:t>。</w:t>
      </w:r>
      <w:r>
        <w:rPr>
          <w:rFonts w:hint="eastAsia"/>
          <w:spacing w:val="-3"/>
          <w:sz w:val="32"/>
          <w:highlight w:val="none"/>
          <w:lang w:val="en-US" w:eastAsia="zh-CN"/>
        </w:rPr>
        <w:t xml:space="preserve">                </w:t>
      </w:r>
      <w:r>
        <w:rPr>
          <w:highlight w:val="none"/>
        </w:rPr>
        <w:t>（二</w:t>
      </w:r>
      <w:r>
        <w:rPr>
          <w:spacing w:val="-44"/>
          <w:highlight w:val="none"/>
        </w:rPr>
        <w:t>）</w:t>
      </w:r>
      <w:r>
        <w:rPr>
          <w:highlight w:val="none"/>
        </w:rPr>
        <w:t>公用经</w:t>
      </w:r>
      <w:r>
        <w:rPr>
          <w:spacing w:val="3"/>
          <w:highlight w:val="none"/>
        </w:rPr>
        <w:t>费</w:t>
      </w:r>
      <w:r>
        <w:rPr>
          <w:rFonts w:hint="eastAsia"/>
          <w:spacing w:val="3"/>
          <w:highlight w:val="none"/>
          <w:u w:val="single"/>
          <w:lang w:val="en-US" w:eastAsia="zh-CN"/>
        </w:rPr>
        <w:t>1088.67</w:t>
      </w:r>
      <w:r>
        <w:rPr>
          <w:highlight w:val="none"/>
        </w:rPr>
        <w:t>万元</w:t>
      </w:r>
      <w:r>
        <w:rPr>
          <w:spacing w:val="-41"/>
          <w:highlight w:val="none"/>
        </w:rPr>
        <w:t>。</w:t>
      </w:r>
      <w:r>
        <w:rPr>
          <w:highlight w:val="none"/>
        </w:rPr>
        <w:t>主要包括</w:t>
      </w:r>
      <w:r>
        <w:rPr>
          <w:spacing w:val="-44"/>
          <w:highlight w:val="none"/>
        </w:rPr>
        <w:t>：</w:t>
      </w:r>
      <w:r>
        <w:rPr>
          <w:highlight w:val="none"/>
        </w:rPr>
        <w:t>办公费</w:t>
      </w:r>
      <w:r>
        <w:rPr>
          <w:rFonts w:hint="eastAsia"/>
          <w:highlight w:val="none"/>
          <w:lang w:val="en-US" w:eastAsia="zh-CN"/>
        </w:rPr>
        <w:t>152.05万元</w:t>
      </w:r>
      <w:r>
        <w:rPr>
          <w:spacing w:val="-44"/>
          <w:highlight w:val="none"/>
        </w:rPr>
        <w:t>、</w:t>
      </w:r>
      <w:r>
        <w:rPr>
          <w:highlight w:val="none"/>
        </w:rPr>
        <w:t>印刷费</w:t>
      </w:r>
      <w:r>
        <w:rPr>
          <w:rFonts w:hint="eastAsia"/>
          <w:highlight w:val="none"/>
          <w:lang w:val="en-US" w:eastAsia="zh-CN"/>
        </w:rPr>
        <w:t>3.45万元、</w:t>
      </w:r>
      <w:r>
        <w:rPr>
          <w:highlight w:val="none"/>
        </w:rPr>
        <w:t>水费</w:t>
      </w:r>
      <w:r>
        <w:rPr>
          <w:rFonts w:hint="eastAsia"/>
          <w:highlight w:val="none"/>
          <w:lang w:val="en-US" w:eastAsia="zh-CN"/>
        </w:rPr>
        <w:t>1.73万元</w:t>
      </w:r>
      <w:r>
        <w:rPr>
          <w:highlight w:val="none"/>
        </w:rPr>
        <w:t>、电费</w:t>
      </w:r>
      <w:r>
        <w:rPr>
          <w:rFonts w:hint="eastAsia"/>
          <w:highlight w:val="none"/>
          <w:lang w:val="en-US" w:eastAsia="zh-CN"/>
        </w:rPr>
        <w:t>26.67万元</w:t>
      </w:r>
      <w:r>
        <w:rPr>
          <w:spacing w:val="-3"/>
          <w:highlight w:val="none"/>
        </w:rPr>
        <w:t>、</w:t>
      </w:r>
      <w:r>
        <w:rPr>
          <w:highlight w:val="none"/>
        </w:rPr>
        <w:t>邮电费</w:t>
      </w:r>
      <w:r>
        <w:rPr>
          <w:rFonts w:hint="eastAsia"/>
          <w:highlight w:val="none"/>
          <w:lang w:val="en-US" w:eastAsia="zh-CN"/>
        </w:rPr>
        <w:t>46.87万元</w:t>
      </w:r>
      <w:r>
        <w:rPr>
          <w:highlight w:val="none"/>
        </w:rPr>
        <w:t>、物业管理费</w:t>
      </w:r>
      <w:r>
        <w:rPr>
          <w:rFonts w:hint="eastAsia"/>
          <w:highlight w:val="none"/>
          <w:lang w:val="en-US" w:eastAsia="zh-CN"/>
        </w:rPr>
        <w:t>17.25万元</w:t>
      </w:r>
      <w:r>
        <w:rPr>
          <w:spacing w:val="-3"/>
          <w:highlight w:val="none"/>
        </w:rPr>
        <w:t>、</w:t>
      </w:r>
      <w:r>
        <w:rPr>
          <w:highlight w:val="none"/>
        </w:rPr>
        <w:t>差旅费</w:t>
      </w:r>
      <w:r>
        <w:rPr>
          <w:rFonts w:hint="eastAsia"/>
          <w:highlight w:val="none"/>
          <w:lang w:val="en-US" w:eastAsia="zh-CN"/>
        </w:rPr>
        <w:t>22.9万元</w:t>
      </w:r>
      <w:r>
        <w:rPr>
          <w:spacing w:val="-3"/>
          <w:highlight w:val="none"/>
        </w:rPr>
        <w:t>、</w:t>
      </w:r>
      <w:r>
        <w:rPr>
          <w:highlight w:val="none"/>
        </w:rPr>
        <w:t>维修（护</w:t>
      </w:r>
      <w:r>
        <w:rPr>
          <w:spacing w:val="-3"/>
          <w:highlight w:val="none"/>
        </w:rPr>
        <w:t>）</w:t>
      </w:r>
      <w:r>
        <w:rPr>
          <w:highlight w:val="none"/>
        </w:rPr>
        <w:t>费</w:t>
      </w:r>
      <w:r>
        <w:rPr>
          <w:rFonts w:hint="eastAsia"/>
          <w:highlight w:val="none"/>
          <w:lang w:val="en-US" w:eastAsia="zh-CN"/>
        </w:rPr>
        <w:t>119.35万元</w:t>
      </w:r>
      <w:r>
        <w:rPr>
          <w:spacing w:val="-3"/>
          <w:highlight w:val="none"/>
        </w:rPr>
        <w:t>、</w:t>
      </w:r>
      <w:r>
        <w:rPr>
          <w:highlight w:val="none"/>
        </w:rPr>
        <w:t>会议费</w:t>
      </w:r>
      <w:r>
        <w:rPr>
          <w:rFonts w:hint="eastAsia"/>
          <w:highlight w:val="none"/>
          <w:lang w:val="en-US" w:eastAsia="zh-CN"/>
        </w:rPr>
        <w:t>0.18万元</w:t>
      </w:r>
      <w:r>
        <w:rPr>
          <w:spacing w:val="-3"/>
          <w:highlight w:val="none"/>
        </w:rPr>
        <w:t>、</w:t>
      </w:r>
      <w:r>
        <w:rPr>
          <w:highlight w:val="none"/>
        </w:rPr>
        <w:t>培训费</w:t>
      </w:r>
      <w:r>
        <w:rPr>
          <w:rFonts w:hint="eastAsia"/>
          <w:highlight w:val="none"/>
          <w:lang w:val="en-US" w:eastAsia="zh-CN"/>
        </w:rPr>
        <w:t>4.68万元</w:t>
      </w:r>
      <w:r>
        <w:rPr>
          <w:spacing w:val="-3"/>
          <w:highlight w:val="none"/>
        </w:rPr>
        <w:t>、</w:t>
      </w:r>
      <w:r>
        <w:rPr>
          <w:spacing w:val="7"/>
          <w:w w:val="95"/>
          <w:highlight w:val="none"/>
        </w:rPr>
        <w:t>劳</w:t>
      </w:r>
      <w:r>
        <w:rPr>
          <w:spacing w:val="4"/>
          <w:w w:val="95"/>
          <w:highlight w:val="none"/>
        </w:rPr>
        <w:t>务费</w:t>
      </w:r>
      <w:r>
        <w:rPr>
          <w:rFonts w:hint="eastAsia"/>
          <w:spacing w:val="4"/>
          <w:w w:val="95"/>
          <w:highlight w:val="none"/>
          <w:lang w:val="en-US" w:eastAsia="zh-CN"/>
        </w:rPr>
        <w:t>189.83</w:t>
      </w:r>
      <w:r>
        <w:rPr>
          <w:rFonts w:hint="eastAsia"/>
          <w:highlight w:val="none"/>
          <w:lang w:val="en-US" w:eastAsia="zh-CN"/>
        </w:rPr>
        <w:t>万元</w:t>
      </w:r>
      <w:r>
        <w:rPr>
          <w:spacing w:val="7"/>
          <w:w w:val="95"/>
          <w:highlight w:val="none"/>
        </w:rPr>
        <w:t>、委托业务</w:t>
      </w:r>
      <w:r>
        <w:rPr>
          <w:spacing w:val="4"/>
          <w:w w:val="95"/>
          <w:highlight w:val="none"/>
        </w:rPr>
        <w:t>费</w:t>
      </w:r>
      <w:r>
        <w:rPr>
          <w:rFonts w:hint="eastAsia"/>
          <w:spacing w:val="4"/>
          <w:w w:val="95"/>
          <w:highlight w:val="none"/>
          <w:lang w:val="en-US" w:eastAsia="zh-CN"/>
        </w:rPr>
        <w:t>50</w:t>
      </w:r>
      <w:r>
        <w:rPr>
          <w:rFonts w:hint="eastAsia"/>
          <w:highlight w:val="none"/>
          <w:lang w:val="en-US" w:eastAsia="zh-CN"/>
        </w:rPr>
        <w:t>万元</w:t>
      </w:r>
      <w:r>
        <w:rPr>
          <w:spacing w:val="4"/>
          <w:w w:val="95"/>
          <w:highlight w:val="none"/>
        </w:rPr>
        <w:t>、</w:t>
      </w:r>
      <w:r>
        <w:rPr>
          <w:spacing w:val="7"/>
          <w:w w:val="95"/>
          <w:highlight w:val="none"/>
        </w:rPr>
        <w:t>工会经费</w:t>
      </w:r>
      <w:r>
        <w:rPr>
          <w:rFonts w:hint="eastAsia"/>
          <w:spacing w:val="7"/>
          <w:w w:val="95"/>
          <w:highlight w:val="none"/>
          <w:lang w:val="en-US" w:eastAsia="zh-CN"/>
        </w:rPr>
        <w:t>40.2</w:t>
      </w:r>
      <w:r>
        <w:rPr>
          <w:rFonts w:hint="eastAsia"/>
          <w:highlight w:val="none"/>
          <w:lang w:val="en-US" w:eastAsia="zh-CN"/>
        </w:rPr>
        <w:t>万元</w:t>
      </w:r>
      <w:r>
        <w:rPr>
          <w:spacing w:val="-14"/>
          <w:w w:val="95"/>
          <w:highlight w:val="none"/>
        </w:rPr>
        <w:t xml:space="preserve">、 </w:t>
      </w:r>
      <w:r>
        <w:rPr>
          <w:highlight w:val="none"/>
        </w:rPr>
        <w:t>公务用车运行维护费</w:t>
      </w:r>
      <w:r>
        <w:rPr>
          <w:rFonts w:hint="eastAsia"/>
          <w:highlight w:val="none"/>
          <w:lang w:val="en-US" w:eastAsia="zh-CN"/>
        </w:rPr>
        <w:t>24.53万元</w:t>
      </w:r>
      <w:r>
        <w:rPr>
          <w:spacing w:val="-5"/>
          <w:highlight w:val="none"/>
        </w:rPr>
        <w:t>、</w:t>
      </w:r>
      <w:r>
        <w:rPr>
          <w:highlight w:val="none"/>
        </w:rPr>
        <w:t>其他商品和服务支出</w:t>
      </w:r>
      <w:r>
        <w:rPr>
          <w:rFonts w:hint="eastAsia"/>
          <w:highlight w:val="none"/>
          <w:lang w:val="en-US" w:eastAsia="zh-CN"/>
        </w:rPr>
        <w:t>113.87万元</w:t>
      </w:r>
      <w:r>
        <w:rPr>
          <w:spacing w:val="-5"/>
          <w:highlight w:val="none"/>
        </w:rPr>
        <w:t>、</w:t>
      </w:r>
      <w:r>
        <w:rPr>
          <w:highlight w:val="none"/>
        </w:rPr>
        <w:t>办公设备购置</w:t>
      </w:r>
      <w:r>
        <w:rPr>
          <w:rFonts w:hint="eastAsia"/>
          <w:highlight w:val="none"/>
          <w:lang w:val="en-US" w:eastAsia="zh-CN"/>
        </w:rPr>
        <w:t>16.67万元</w:t>
      </w:r>
      <w:r>
        <w:rPr>
          <w:spacing w:val="-5"/>
          <w:highlight w:val="none"/>
        </w:rPr>
        <w:t>、</w:t>
      </w:r>
      <w:r>
        <w:rPr>
          <w:highlight w:val="none"/>
        </w:rPr>
        <w:t>专用设备购置</w:t>
      </w:r>
      <w:r>
        <w:rPr>
          <w:rFonts w:hint="eastAsia"/>
          <w:highlight w:val="none"/>
          <w:lang w:val="en-US" w:eastAsia="zh-CN"/>
        </w:rPr>
        <w:t>154.11万元</w:t>
      </w:r>
      <w:r>
        <w:rPr>
          <w:spacing w:val="-5"/>
          <w:highlight w:val="none"/>
        </w:rPr>
        <w:t>、</w:t>
      </w:r>
      <w:r>
        <w:rPr>
          <w:highlight w:val="none"/>
        </w:rPr>
        <w:t>信息网络及软件购置更新</w:t>
      </w:r>
      <w:r>
        <w:rPr>
          <w:rFonts w:hint="eastAsia"/>
          <w:highlight w:val="none"/>
          <w:lang w:val="en-US" w:eastAsia="zh-CN"/>
        </w:rPr>
        <w:t>82.68万元</w:t>
      </w:r>
      <w:r>
        <w:rPr>
          <w:spacing w:val="-8"/>
          <w:highlight w:val="none"/>
        </w:rPr>
        <w:t>、</w:t>
      </w:r>
      <w:r>
        <w:rPr>
          <w:rFonts w:hint="eastAsia"/>
          <w:spacing w:val="-8"/>
          <w:highlight w:val="none"/>
          <w:lang w:val="en-US" w:eastAsia="zh-CN"/>
        </w:rPr>
        <w:t>公车购置21.64</w:t>
      </w:r>
      <w:r>
        <w:rPr>
          <w:rFonts w:hint="eastAsia"/>
          <w:highlight w:val="none"/>
          <w:lang w:val="en-US" w:eastAsia="zh-CN"/>
        </w:rPr>
        <w:t>万元</w:t>
      </w:r>
      <w:r>
        <w:rPr>
          <w:spacing w:val="-20"/>
          <w:highlight w:val="none"/>
        </w:rPr>
        <w:t>。</w:t>
      </w:r>
    </w:p>
    <w:p>
      <w:pPr>
        <w:tabs>
          <w:tab w:val="left" w:pos="3435"/>
        </w:tabs>
        <w:spacing w:line="319" w:lineRule="auto"/>
        <w:ind w:left="120" w:right="284" w:firstLine="640"/>
        <w:rPr>
          <w:sz w:val="33"/>
          <w:highlight w:val="none"/>
        </w:rPr>
      </w:pPr>
    </w:p>
    <w:p>
      <w:pPr>
        <w:pStyle w:val="2"/>
        <w:spacing w:line="324" w:lineRule="auto"/>
        <w:ind w:left="120" w:right="435" w:firstLine="640"/>
        <w:rPr>
          <w:highlight w:val="none"/>
        </w:rPr>
      </w:pPr>
      <w:r>
        <w:rPr>
          <w:highlight w:val="none"/>
        </w:rPr>
        <w:t>九、一般公共预算财政拨款</w:t>
      </w:r>
      <w:r>
        <w:rPr>
          <w:rFonts w:ascii="Times New Roman" w:hAnsi="Times New Roman" w:eastAsia="Times New Roman"/>
          <w:highlight w:val="none"/>
        </w:rPr>
        <w:t>“</w:t>
      </w:r>
      <w:r>
        <w:rPr>
          <w:highlight w:val="none"/>
        </w:rPr>
        <w:t>三公</w:t>
      </w:r>
      <w:r>
        <w:rPr>
          <w:rFonts w:ascii="Times New Roman" w:hAnsi="Times New Roman" w:eastAsia="Times New Roman"/>
          <w:highlight w:val="none"/>
        </w:rPr>
        <w:t>”</w:t>
      </w:r>
      <w:r>
        <w:rPr>
          <w:highlight w:val="none"/>
        </w:rPr>
        <w:t>经费、会议费、培训费支出情况说明</w:t>
      </w:r>
    </w:p>
    <w:p>
      <w:pPr>
        <w:pStyle w:val="2"/>
        <w:spacing w:line="321" w:lineRule="auto"/>
        <w:ind w:left="120" w:right="419" w:firstLine="640"/>
        <w:jc w:val="both"/>
        <w:rPr>
          <w:highlight w:val="none"/>
        </w:rPr>
      </w:pPr>
      <w:r>
        <w:rPr>
          <w:rFonts w:hint="eastAsia" w:ascii="Times New Roman" w:hAnsi="Times New Roman"/>
          <w:spacing w:val="4"/>
          <w:w w:val="95"/>
          <w:highlight w:val="none"/>
          <w:u w:val="single"/>
          <w:lang w:eastAsia="zh-CN"/>
        </w:rPr>
        <w:t>连云港市海州区人民检察院</w:t>
      </w:r>
      <w:r>
        <w:rPr>
          <w:rFonts w:ascii="Times New Roman" w:hAnsi="Times New Roman" w:eastAsia="Times New Roman"/>
          <w:spacing w:val="2"/>
          <w:w w:val="95"/>
          <w:highlight w:val="none"/>
        </w:rPr>
        <w:t>2020</w:t>
      </w:r>
      <w:r>
        <w:rPr>
          <w:spacing w:val="9"/>
          <w:w w:val="95"/>
          <w:highlight w:val="none"/>
        </w:rPr>
        <w:t>年度一般公共预算拨款安排的</w:t>
      </w:r>
      <w:r>
        <w:rPr>
          <w:rFonts w:ascii="Times New Roman" w:hAnsi="Times New Roman" w:eastAsia="Times New Roman"/>
          <w:spacing w:val="9"/>
          <w:w w:val="95"/>
          <w:highlight w:val="none"/>
        </w:rPr>
        <w:t>“</w:t>
      </w:r>
      <w:r>
        <w:rPr>
          <w:spacing w:val="10"/>
          <w:w w:val="95"/>
          <w:highlight w:val="none"/>
        </w:rPr>
        <w:t>三公</w:t>
      </w:r>
      <w:r>
        <w:rPr>
          <w:rFonts w:ascii="Times New Roman" w:hAnsi="Times New Roman" w:eastAsia="Times New Roman"/>
          <w:spacing w:val="7"/>
          <w:w w:val="95"/>
          <w:highlight w:val="none"/>
        </w:rPr>
        <w:t>”</w:t>
      </w:r>
      <w:r>
        <w:rPr>
          <w:spacing w:val="9"/>
          <w:w w:val="95"/>
          <w:highlight w:val="none"/>
        </w:rPr>
        <w:t xml:space="preserve">经费 </w:t>
      </w:r>
      <w:r>
        <w:rPr>
          <w:spacing w:val="-9"/>
          <w:highlight w:val="none"/>
        </w:rPr>
        <w:t>决算支出中，因公出国</w:t>
      </w:r>
      <w:r>
        <w:rPr>
          <w:highlight w:val="none"/>
        </w:rPr>
        <w:t>（境</w:t>
      </w:r>
      <w:r>
        <w:rPr>
          <w:spacing w:val="-32"/>
          <w:highlight w:val="none"/>
        </w:rPr>
        <w:t>）</w:t>
      </w:r>
      <w:r>
        <w:rPr>
          <w:spacing w:val="1"/>
          <w:highlight w:val="none"/>
        </w:rPr>
        <w:t>费支出</w:t>
      </w:r>
      <w:r>
        <w:rPr>
          <w:rFonts w:hint="eastAsia"/>
          <w:spacing w:val="148"/>
          <w:highlight w:val="none"/>
          <w:u w:val="single"/>
          <w:lang w:val="en-US" w:eastAsia="zh-CN"/>
        </w:rPr>
        <w:t>0</w:t>
      </w:r>
      <w:r>
        <w:rPr>
          <w:spacing w:val="-9"/>
          <w:highlight w:val="none"/>
        </w:rPr>
        <w:t>万元，占</w:t>
      </w:r>
      <w:r>
        <w:rPr>
          <w:rFonts w:ascii="Times New Roman" w:hAnsi="Times New Roman" w:eastAsia="Times New Roman"/>
          <w:highlight w:val="none"/>
        </w:rPr>
        <w:t>“</w:t>
      </w:r>
      <w:r>
        <w:rPr>
          <w:spacing w:val="1"/>
          <w:highlight w:val="none"/>
        </w:rPr>
        <w:t>三公</w:t>
      </w:r>
      <w:r>
        <w:rPr>
          <w:rFonts w:ascii="Times New Roman" w:hAnsi="Times New Roman" w:eastAsia="Times New Roman"/>
          <w:spacing w:val="-3"/>
          <w:highlight w:val="none"/>
        </w:rPr>
        <w:t>”</w:t>
      </w:r>
      <w:r>
        <w:rPr>
          <w:highlight w:val="none"/>
        </w:rPr>
        <w:t>经费的</w:t>
      </w:r>
      <w:r>
        <w:rPr>
          <w:rFonts w:hint="eastAsia"/>
          <w:spacing w:val="157"/>
          <w:highlight w:val="none"/>
          <w:u w:val="single"/>
          <w:lang w:val="en-US" w:eastAsia="zh-CN"/>
        </w:rPr>
        <w:t>0</w:t>
      </w:r>
      <w:r>
        <w:rPr>
          <w:rFonts w:ascii="Times New Roman" w:hAnsi="Times New Roman" w:eastAsia="Times New Roman"/>
          <w:spacing w:val="-61"/>
          <w:highlight w:val="none"/>
        </w:rPr>
        <w:t>%</w:t>
      </w:r>
      <w:r>
        <w:rPr>
          <w:spacing w:val="-8"/>
          <w:highlight w:val="none"/>
        </w:rPr>
        <w:t>；公务用车购置及运行维护费支出</w:t>
      </w:r>
      <w:r>
        <w:rPr>
          <w:rFonts w:hint="eastAsia"/>
          <w:spacing w:val="157"/>
          <w:highlight w:val="none"/>
          <w:u w:val="single"/>
          <w:lang w:val="en-US" w:eastAsia="zh-CN"/>
        </w:rPr>
        <w:t>46.17</w:t>
      </w:r>
      <w:r>
        <w:rPr>
          <w:spacing w:val="-31"/>
          <w:highlight w:val="none"/>
        </w:rPr>
        <w:t>万元，占</w:t>
      </w:r>
      <w:r>
        <w:rPr>
          <w:rFonts w:ascii="Times New Roman" w:hAnsi="Times New Roman" w:eastAsia="Times New Roman"/>
          <w:highlight w:val="none"/>
        </w:rPr>
        <w:t>“</w:t>
      </w:r>
      <w:r>
        <w:rPr>
          <w:highlight w:val="none"/>
        </w:rPr>
        <w:t>三公</w:t>
      </w:r>
      <w:r>
        <w:rPr>
          <w:rFonts w:ascii="Times New Roman" w:hAnsi="Times New Roman" w:eastAsia="Times New Roman"/>
          <w:highlight w:val="none"/>
        </w:rPr>
        <w:t xml:space="preserve">” </w:t>
      </w:r>
      <w:r>
        <w:rPr>
          <w:spacing w:val="16"/>
          <w:highlight w:val="none"/>
        </w:rPr>
        <w:t>经费的</w:t>
      </w:r>
      <w:r>
        <w:rPr>
          <w:rFonts w:hint="eastAsia"/>
          <w:spacing w:val="87"/>
          <w:highlight w:val="none"/>
          <w:u w:val="single"/>
          <w:lang w:val="en-US" w:eastAsia="zh-CN"/>
        </w:rPr>
        <w:t>100</w:t>
      </w:r>
      <w:r>
        <w:rPr>
          <w:rFonts w:ascii="Times New Roman" w:hAnsi="Times New Roman" w:eastAsia="Times New Roman"/>
          <w:spacing w:val="14"/>
          <w:highlight w:val="none"/>
        </w:rPr>
        <w:t>%</w:t>
      </w:r>
      <w:r>
        <w:rPr>
          <w:spacing w:val="14"/>
          <w:highlight w:val="none"/>
        </w:rPr>
        <w:t>；公务接待费支出</w:t>
      </w:r>
      <w:r>
        <w:rPr>
          <w:rFonts w:hint="eastAsia"/>
          <w:spacing w:val="64"/>
          <w:highlight w:val="none"/>
          <w:u w:val="single"/>
          <w:lang w:val="en-US" w:eastAsia="zh-CN"/>
        </w:rPr>
        <w:t>0</w:t>
      </w:r>
      <w:r>
        <w:rPr>
          <w:spacing w:val="15"/>
          <w:highlight w:val="none"/>
        </w:rPr>
        <w:t>万元，占</w:t>
      </w:r>
      <w:r>
        <w:rPr>
          <w:rFonts w:ascii="Times New Roman" w:hAnsi="Times New Roman" w:eastAsia="Times New Roman"/>
          <w:spacing w:val="14"/>
          <w:highlight w:val="none"/>
        </w:rPr>
        <w:t>“</w:t>
      </w:r>
      <w:r>
        <w:rPr>
          <w:spacing w:val="16"/>
          <w:highlight w:val="none"/>
        </w:rPr>
        <w:t>三公</w:t>
      </w:r>
      <w:r>
        <w:rPr>
          <w:rFonts w:ascii="Times New Roman" w:hAnsi="Times New Roman" w:eastAsia="Times New Roman"/>
          <w:spacing w:val="14"/>
          <w:highlight w:val="none"/>
        </w:rPr>
        <w:t>”</w:t>
      </w:r>
      <w:r>
        <w:rPr>
          <w:spacing w:val="16"/>
          <w:highlight w:val="none"/>
        </w:rPr>
        <w:t>经费</w:t>
      </w:r>
      <w:r>
        <w:rPr>
          <w:highlight w:val="none"/>
        </w:rPr>
        <w:t>的</w:t>
      </w:r>
      <w:r>
        <w:rPr>
          <w:rFonts w:hint="eastAsia"/>
          <w:spacing w:val="155"/>
          <w:highlight w:val="none"/>
          <w:u w:val="single"/>
          <w:lang w:val="en-US" w:eastAsia="zh-CN"/>
        </w:rPr>
        <w:t>0</w:t>
      </w:r>
      <w:r>
        <w:rPr>
          <w:rFonts w:ascii="Times New Roman" w:hAnsi="Times New Roman" w:eastAsia="Times New Roman"/>
          <w:highlight w:val="none"/>
        </w:rPr>
        <w:t>%</w:t>
      </w:r>
      <w:r>
        <w:rPr>
          <w:highlight w:val="none"/>
        </w:rPr>
        <w:t>。具体情况如下：</w:t>
      </w:r>
    </w:p>
    <w:p>
      <w:pPr>
        <w:pStyle w:val="2"/>
        <w:keepNext w:val="0"/>
        <w:keepLines w:val="0"/>
        <w:pageBreakBefore w:val="0"/>
        <w:widowControl w:val="0"/>
        <w:kinsoku/>
        <w:wordWrap/>
        <w:overflowPunct/>
        <w:topLinePunct w:val="0"/>
        <w:autoSpaceDE w:val="0"/>
        <w:autoSpaceDN w:val="0"/>
        <w:bidi w:val="0"/>
        <w:adjustRightInd/>
        <w:snapToGrid/>
        <w:spacing w:before="43" w:line="322" w:lineRule="auto"/>
        <w:ind w:left="120" w:firstLine="640" w:firstLineChars="200"/>
        <w:textAlignment w:val="auto"/>
        <w:rPr>
          <w:highlight w:val="none"/>
        </w:rPr>
      </w:pPr>
      <w:r>
        <w:rPr>
          <w:rFonts w:hint="eastAsia"/>
          <w:sz w:val="32"/>
          <w:highlight w:val="none"/>
          <w:lang w:val="en-US" w:eastAsia="zh-CN"/>
        </w:rPr>
        <w:t>1.</w:t>
      </w:r>
      <w:r>
        <w:rPr>
          <w:sz w:val="32"/>
          <w:highlight w:val="none"/>
        </w:rPr>
        <w:t>因公出</w:t>
      </w:r>
      <w:r>
        <w:rPr>
          <w:spacing w:val="-149"/>
          <w:sz w:val="32"/>
          <w:highlight w:val="none"/>
        </w:rPr>
        <w:t>国</w:t>
      </w:r>
      <w:r>
        <w:rPr>
          <w:sz w:val="32"/>
          <w:highlight w:val="none"/>
        </w:rPr>
        <w:t>（境</w:t>
      </w:r>
      <w:r>
        <w:rPr>
          <w:spacing w:val="-152"/>
          <w:sz w:val="32"/>
          <w:highlight w:val="none"/>
        </w:rPr>
        <w:t>）</w:t>
      </w:r>
      <w:r>
        <w:rPr>
          <w:sz w:val="32"/>
          <w:highlight w:val="none"/>
        </w:rPr>
        <w:t>费决算支</w:t>
      </w:r>
      <w:r>
        <w:rPr>
          <w:spacing w:val="3"/>
          <w:sz w:val="32"/>
          <w:highlight w:val="none"/>
        </w:rPr>
        <w:t>出</w:t>
      </w:r>
      <w:r>
        <w:rPr>
          <w:rFonts w:hint="eastAsia"/>
          <w:spacing w:val="3"/>
          <w:sz w:val="32"/>
          <w:highlight w:val="none"/>
          <w:u w:val="single"/>
          <w:lang w:val="en-US" w:eastAsia="zh-CN"/>
        </w:rPr>
        <w:t>0</w:t>
      </w:r>
      <w:r>
        <w:rPr>
          <w:sz w:val="32"/>
          <w:highlight w:val="none"/>
        </w:rPr>
        <w:t>万元</w:t>
      </w:r>
      <w:r>
        <w:rPr>
          <w:spacing w:val="-152"/>
          <w:sz w:val="32"/>
          <w:highlight w:val="none"/>
        </w:rPr>
        <w:t>，</w:t>
      </w:r>
      <w:r>
        <w:rPr>
          <w:sz w:val="32"/>
          <w:highlight w:val="none"/>
        </w:rPr>
        <w:t>完成预算</w:t>
      </w:r>
      <w:r>
        <w:rPr>
          <w:spacing w:val="3"/>
          <w:sz w:val="32"/>
          <w:highlight w:val="none"/>
        </w:rPr>
        <w:t>的</w:t>
      </w:r>
      <w:r>
        <w:rPr>
          <w:rFonts w:hint="eastAsia"/>
          <w:spacing w:val="3"/>
          <w:sz w:val="32"/>
          <w:highlight w:val="none"/>
          <w:u w:val="single"/>
          <w:lang w:val="en-US" w:eastAsia="zh-CN"/>
        </w:rPr>
        <w:t>0</w:t>
      </w:r>
      <w:r>
        <w:rPr>
          <w:rFonts w:ascii="Times New Roman" w:hAnsi="Times New Roman" w:eastAsia="Times New Roman"/>
          <w:spacing w:val="-9"/>
          <w:sz w:val="32"/>
          <w:highlight w:val="none"/>
        </w:rPr>
        <w:t>%</w:t>
      </w:r>
      <w:r>
        <w:rPr>
          <w:spacing w:val="-9"/>
          <w:sz w:val="32"/>
          <w:highlight w:val="none"/>
        </w:rPr>
        <w:t>，与上年决算持平，主要原因为</w:t>
      </w:r>
      <w:r>
        <w:rPr>
          <w:rFonts w:hint="eastAsia"/>
          <w:spacing w:val="-9"/>
          <w:sz w:val="32"/>
          <w:highlight w:val="none"/>
          <w:lang w:val="en-US" w:eastAsia="zh-CN"/>
        </w:rPr>
        <w:t>本年度无此项业务发生</w:t>
      </w:r>
      <w:r>
        <w:rPr>
          <w:spacing w:val="-9"/>
          <w:sz w:val="32"/>
          <w:highlight w:val="none"/>
        </w:rPr>
        <w:t xml:space="preserve">；决算数等于预算数的主要原因没有出国安排。 </w:t>
      </w:r>
      <w:r>
        <w:rPr>
          <w:sz w:val="32"/>
          <w:highlight w:val="none"/>
        </w:rPr>
        <w:t>全年使用一般公共预 算拨款支出安排的出</w:t>
      </w:r>
      <w:r>
        <w:rPr>
          <w:spacing w:val="-3"/>
          <w:sz w:val="32"/>
          <w:highlight w:val="none"/>
        </w:rPr>
        <w:t>国</w:t>
      </w:r>
      <w:r>
        <w:rPr>
          <w:sz w:val="32"/>
          <w:highlight w:val="none"/>
        </w:rPr>
        <w:t>（境</w:t>
      </w:r>
      <w:r>
        <w:rPr>
          <w:spacing w:val="-3"/>
          <w:sz w:val="32"/>
          <w:highlight w:val="none"/>
        </w:rPr>
        <w:t>）</w:t>
      </w:r>
      <w:r>
        <w:rPr>
          <w:sz w:val="32"/>
          <w:highlight w:val="none"/>
        </w:rPr>
        <w:t>团</w:t>
      </w:r>
      <w:r>
        <w:rPr>
          <w:spacing w:val="4"/>
          <w:sz w:val="32"/>
          <w:highlight w:val="none"/>
        </w:rPr>
        <w:t>组</w:t>
      </w:r>
      <w:r>
        <w:rPr>
          <w:rFonts w:hint="eastAsia"/>
          <w:spacing w:val="4"/>
          <w:sz w:val="32"/>
          <w:highlight w:val="none"/>
          <w:u w:val="single"/>
          <w:lang w:val="en-US" w:eastAsia="zh-CN"/>
        </w:rPr>
        <w:t>0</w:t>
      </w:r>
      <w:r>
        <w:rPr>
          <w:sz w:val="32"/>
          <w:highlight w:val="none"/>
        </w:rPr>
        <w:t>个，累计</w:t>
      </w:r>
      <w:r>
        <w:rPr>
          <w:rFonts w:hint="eastAsia"/>
          <w:sz w:val="32"/>
          <w:highlight w:val="none"/>
          <w:u w:val="single"/>
          <w:lang w:val="en-US" w:eastAsia="zh-CN"/>
        </w:rPr>
        <w:t>0</w:t>
      </w:r>
      <w:r>
        <w:rPr>
          <w:sz w:val="32"/>
          <w:highlight w:val="none"/>
        </w:rPr>
        <w:t>人次。</w:t>
      </w:r>
    </w:p>
    <w:p>
      <w:pPr>
        <w:pStyle w:val="15"/>
        <w:keepNext w:val="0"/>
        <w:keepLines w:val="0"/>
        <w:pageBreakBefore w:val="0"/>
        <w:widowControl w:val="0"/>
        <w:numPr>
          <w:ilvl w:val="0"/>
          <w:numId w:val="0"/>
        </w:numPr>
        <w:tabs>
          <w:tab w:val="left" w:pos="1243"/>
          <w:tab w:val="left" w:pos="6198"/>
        </w:tabs>
        <w:kinsoku/>
        <w:wordWrap/>
        <w:overflowPunct/>
        <w:topLinePunct w:val="0"/>
        <w:autoSpaceDE w:val="0"/>
        <w:autoSpaceDN w:val="0"/>
        <w:bidi w:val="0"/>
        <w:adjustRightInd/>
        <w:snapToGrid/>
        <w:spacing w:before="140" w:line="322" w:lineRule="auto"/>
        <w:ind w:firstLine="640" w:firstLineChars="200"/>
        <w:textAlignment w:val="auto"/>
        <w:rPr>
          <w:sz w:val="32"/>
          <w:highlight w:val="none"/>
        </w:rPr>
      </w:pPr>
      <w:r>
        <w:rPr>
          <w:rFonts w:hint="eastAsia"/>
          <w:sz w:val="32"/>
          <w:highlight w:val="none"/>
          <w:lang w:val="en-US" w:eastAsia="zh-CN"/>
        </w:rPr>
        <w:t>2.</w:t>
      </w:r>
      <w:r>
        <w:rPr>
          <w:sz w:val="32"/>
          <w:highlight w:val="none"/>
        </w:rPr>
        <w:t>公务用车购置及运行维护费支出</w:t>
      </w:r>
      <w:r>
        <w:rPr>
          <w:rFonts w:hint="eastAsia"/>
          <w:sz w:val="32"/>
          <w:highlight w:val="none"/>
          <w:u w:val="single"/>
          <w:lang w:val="en-US" w:eastAsia="zh-CN"/>
        </w:rPr>
        <w:t>46.17</w:t>
      </w:r>
      <w:r>
        <w:rPr>
          <w:sz w:val="32"/>
          <w:highlight w:val="none"/>
        </w:rPr>
        <w:t>万元。其中：</w:t>
      </w:r>
    </w:p>
    <w:p>
      <w:pPr>
        <w:pStyle w:val="2"/>
        <w:keepNext w:val="0"/>
        <w:keepLines w:val="0"/>
        <w:pageBreakBefore w:val="0"/>
        <w:widowControl w:val="0"/>
        <w:tabs>
          <w:tab w:val="left" w:pos="6181"/>
        </w:tabs>
        <w:kinsoku/>
        <w:wordWrap/>
        <w:overflowPunct/>
        <w:topLinePunct w:val="0"/>
        <w:autoSpaceDE w:val="0"/>
        <w:autoSpaceDN w:val="0"/>
        <w:bidi w:val="0"/>
        <w:adjustRightInd/>
        <w:snapToGrid/>
        <w:spacing w:before="140" w:line="322" w:lineRule="auto"/>
        <w:ind w:right="-150" w:rightChars="-68" w:firstLine="320" w:firstLineChars="100"/>
        <w:textAlignment w:val="auto"/>
        <w:rPr>
          <w:rFonts w:hint="eastAsia"/>
          <w:sz w:val="32"/>
          <w:highlight w:val="none"/>
        </w:rPr>
      </w:pPr>
      <w:r>
        <w:rPr>
          <w:rFonts w:hint="eastAsia"/>
          <w:sz w:val="32"/>
          <w:highlight w:val="none"/>
          <w:lang w:eastAsia="zh-CN"/>
        </w:rPr>
        <w:t>（</w:t>
      </w:r>
      <w:r>
        <w:rPr>
          <w:rFonts w:hint="eastAsia"/>
          <w:sz w:val="32"/>
          <w:highlight w:val="none"/>
          <w:lang w:val="en-US" w:eastAsia="zh-CN"/>
        </w:rPr>
        <w:t>1）</w:t>
      </w:r>
      <w:r>
        <w:rPr>
          <w:sz w:val="32"/>
          <w:highlight w:val="none"/>
        </w:rPr>
        <w:t>公务用车购置决算支</w:t>
      </w:r>
      <w:r>
        <w:rPr>
          <w:spacing w:val="3"/>
          <w:sz w:val="32"/>
          <w:highlight w:val="none"/>
        </w:rPr>
        <w:t>出</w:t>
      </w:r>
      <w:r>
        <w:rPr>
          <w:rFonts w:hint="eastAsia"/>
          <w:spacing w:val="3"/>
          <w:sz w:val="32"/>
          <w:highlight w:val="none"/>
          <w:u w:val="single"/>
          <w:lang w:val="en-US" w:eastAsia="zh-CN"/>
        </w:rPr>
        <w:t>21.64</w:t>
      </w:r>
      <w:r>
        <w:rPr>
          <w:sz w:val="32"/>
          <w:highlight w:val="none"/>
        </w:rPr>
        <w:t>万元</w:t>
      </w:r>
      <w:r>
        <w:rPr>
          <w:spacing w:val="-137"/>
          <w:sz w:val="32"/>
          <w:highlight w:val="none"/>
        </w:rPr>
        <w:t>，</w:t>
      </w:r>
      <w:r>
        <w:rPr>
          <w:sz w:val="32"/>
          <w:highlight w:val="none"/>
        </w:rPr>
        <w:t>完成预</w:t>
      </w:r>
      <w:r>
        <w:rPr>
          <w:rFonts w:hint="eastAsia"/>
          <w:sz w:val="32"/>
          <w:highlight w:val="none"/>
        </w:rPr>
        <w:t>算的100%， 比上年决算减少5.06万元，主要原因为压缩车辆购置支出；决算数大于预算数的主要原因年初无购车预算安排。本年度使用一般公共预算拨款购置公务用车1辆，主要为车辆报废，有购车需求。</w:t>
      </w:r>
    </w:p>
    <w:p>
      <w:pPr>
        <w:pStyle w:val="2"/>
        <w:keepNext w:val="0"/>
        <w:keepLines w:val="0"/>
        <w:pageBreakBefore w:val="0"/>
        <w:widowControl w:val="0"/>
        <w:tabs>
          <w:tab w:val="left" w:pos="6181"/>
        </w:tabs>
        <w:kinsoku/>
        <w:wordWrap/>
        <w:overflowPunct/>
        <w:topLinePunct w:val="0"/>
        <w:autoSpaceDE w:val="0"/>
        <w:autoSpaceDN w:val="0"/>
        <w:bidi w:val="0"/>
        <w:adjustRightInd/>
        <w:snapToGrid/>
        <w:spacing w:before="140" w:line="322" w:lineRule="auto"/>
        <w:ind w:right="-150" w:rightChars="-68" w:firstLine="320" w:firstLineChars="100"/>
        <w:textAlignment w:val="auto"/>
        <w:rPr>
          <w:rFonts w:hint="eastAsia"/>
          <w:sz w:val="32"/>
          <w:highlight w:val="none"/>
          <w:lang w:val="en-US" w:eastAsia="zh-CN"/>
        </w:rPr>
      </w:pPr>
      <w:r>
        <w:rPr>
          <w:rFonts w:hint="eastAsia"/>
          <w:sz w:val="32"/>
          <w:highlight w:val="none"/>
          <w:lang w:val="en-US" w:eastAsia="zh-CN"/>
        </w:rPr>
        <w:t xml:space="preserve"> （2）公务用车运行维护费决算支出24.53万元，完成预算的490%，比上年决算减少1.55万元，主要原因为为修车及燃料费用比去年减少；决算数大于预算数的主要原因年初预算安排少。公务用车运行维护费主要用于车辆的维修保养燃 油保险及过桥费用等与车辆有关的费用。2020年使用一般公共预算拨款开支运行维护费的公务用车保有量20辆。</w:t>
      </w:r>
    </w:p>
    <w:p>
      <w:pPr>
        <w:pStyle w:val="2"/>
        <w:keepNext w:val="0"/>
        <w:keepLines w:val="0"/>
        <w:pageBreakBefore w:val="0"/>
        <w:widowControl w:val="0"/>
        <w:tabs>
          <w:tab w:val="left" w:pos="6181"/>
        </w:tabs>
        <w:kinsoku/>
        <w:wordWrap/>
        <w:overflowPunct/>
        <w:topLinePunct w:val="0"/>
        <w:autoSpaceDE w:val="0"/>
        <w:autoSpaceDN w:val="0"/>
        <w:bidi w:val="0"/>
        <w:adjustRightInd/>
        <w:snapToGrid/>
        <w:spacing w:before="140" w:line="322" w:lineRule="auto"/>
        <w:ind w:right="-150" w:rightChars="-68" w:firstLine="320" w:firstLineChars="100"/>
        <w:textAlignment w:val="auto"/>
        <w:rPr>
          <w:rFonts w:hint="eastAsia"/>
          <w:sz w:val="32"/>
          <w:highlight w:val="none"/>
          <w:lang w:val="en-US" w:eastAsia="zh-CN"/>
        </w:rPr>
      </w:pPr>
      <w:r>
        <w:rPr>
          <w:rFonts w:hint="eastAsia"/>
          <w:sz w:val="32"/>
          <w:highlight w:val="none"/>
          <w:lang w:val="en-US" w:eastAsia="zh-CN"/>
        </w:rPr>
        <w:t xml:space="preserve"> 3. 公务接待费0万元，完成预算的0%，与上年决算数相同。其中：国内公务接待支出0万元，接待0批次，0人次，国（境）外公务接待支出0万元，接待0批次，0人次。</w:t>
      </w:r>
    </w:p>
    <w:p>
      <w:pPr>
        <w:pStyle w:val="2"/>
        <w:keepNext w:val="0"/>
        <w:keepLines w:val="0"/>
        <w:pageBreakBefore w:val="0"/>
        <w:widowControl w:val="0"/>
        <w:tabs>
          <w:tab w:val="left" w:pos="6181"/>
        </w:tabs>
        <w:kinsoku/>
        <w:wordWrap/>
        <w:overflowPunct/>
        <w:topLinePunct w:val="0"/>
        <w:autoSpaceDE w:val="0"/>
        <w:autoSpaceDN w:val="0"/>
        <w:bidi w:val="0"/>
        <w:adjustRightInd/>
        <w:snapToGrid/>
        <w:spacing w:before="140" w:line="322" w:lineRule="auto"/>
        <w:ind w:right="-150" w:rightChars="-68" w:firstLine="320" w:firstLineChars="100"/>
        <w:textAlignment w:val="auto"/>
        <w:rPr>
          <w:rFonts w:hint="eastAsia"/>
          <w:sz w:val="32"/>
          <w:highlight w:val="none"/>
          <w:lang w:val="en-US" w:eastAsia="zh-CN"/>
        </w:rPr>
      </w:pPr>
      <w:r>
        <w:rPr>
          <w:rFonts w:hint="eastAsia"/>
          <w:sz w:val="32"/>
          <w:highlight w:val="none"/>
          <w:lang w:val="en-US" w:eastAsia="zh-CN"/>
        </w:rPr>
        <w:t>4.  连云港市海州区人民检察院2020年度一般公共预算拨款安排的会议费决算支出 0.18万元，完成预算的100%，比上年决算增加0.18 万元，主要原因为本年度有会议支出安排；决算数大于预算数的主要原因年初无会议支出安排。2020年度全年召开会议1个，参加会议 10人次。主要为召开检察业务相关会议。</w:t>
      </w:r>
    </w:p>
    <w:p>
      <w:pPr>
        <w:pStyle w:val="2"/>
        <w:keepNext w:val="0"/>
        <w:keepLines w:val="0"/>
        <w:pageBreakBefore w:val="0"/>
        <w:widowControl w:val="0"/>
        <w:tabs>
          <w:tab w:val="left" w:pos="6181"/>
        </w:tabs>
        <w:kinsoku/>
        <w:wordWrap/>
        <w:overflowPunct/>
        <w:topLinePunct w:val="0"/>
        <w:autoSpaceDE w:val="0"/>
        <w:autoSpaceDN w:val="0"/>
        <w:bidi w:val="0"/>
        <w:adjustRightInd/>
        <w:snapToGrid/>
        <w:spacing w:before="140" w:line="322" w:lineRule="auto"/>
        <w:ind w:right="-150" w:rightChars="-68" w:firstLine="320" w:firstLineChars="100"/>
        <w:textAlignment w:val="auto"/>
        <w:rPr>
          <w:rFonts w:hint="default" w:eastAsia="宋体"/>
          <w:highlight w:val="yellow"/>
          <w:lang w:val="en-US" w:eastAsia="zh-CN"/>
        </w:rPr>
      </w:pPr>
      <w:r>
        <w:rPr>
          <w:rFonts w:hint="eastAsia"/>
          <w:sz w:val="32"/>
          <w:highlight w:val="none"/>
          <w:lang w:val="en-US" w:eastAsia="zh-CN"/>
        </w:rPr>
        <w:t>5. 连云港市海州区人民检察院2020年度一般公共预算拨款安排的培训费决算支出4.68万元，完成预算的93.6%，比上年决算增加0.13万元，主要原因为培训个数及培训人数增加；决算数小于预算数的主要</w:t>
      </w:r>
      <w:r>
        <w:rPr>
          <w:highlight w:val="none"/>
        </w:rPr>
        <w:t>原因</w:t>
      </w:r>
      <w:r>
        <w:rPr>
          <w:rFonts w:hint="eastAsia"/>
          <w:highlight w:val="none"/>
          <w:lang w:val="en-US" w:eastAsia="zh-CN"/>
        </w:rPr>
        <w:t>加强培训会议管理，严格控制培训会议支出</w:t>
      </w:r>
      <w:r>
        <w:rPr>
          <w:spacing w:val="-84"/>
          <w:highlight w:val="none"/>
        </w:rPr>
        <w:t>。</w:t>
      </w:r>
      <w:r>
        <w:rPr>
          <w:rFonts w:ascii="Times New Roman" w:hAnsi="Times New Roman" w:eastAsia="Times New Roman"/>
          <w:highlight w:val="none"/>
        </w:rPr>
        <w:t>2020</w:t>
      </w:r>
      <w:r>
        <w:rPr>
          <w:highlight w:val="none"/>
        </w:rPr>
        <w:t>年度全年组织培训</w:t>
      </w:r>
      <w:r>
        <w:rPr>
          <w:rFonts w:hint="eastAsia"/>
          <w:highlight w:val="none"/>
          <w:u w:val="single"/>
          <w:lang w:val="en-US" w:eastAsia="zh-CN"/>
        </w:rPr>
        <w:t>15</w:t>
      </w:r>
      <w:r>
        <w:rPr>
          <w:highlight w:val="none"/>
        </w:rPr>
        <w:t>个</w:t>
      </w:r>
      <w:r>
        <w:rPr>
          <w:spacing w:val="-84"/>
          <w:highlight w:val="none"/>
        </w:rPr>
        <w:t>，</w:t>
      </w:r>
      <w:r>
        <w:rPr>
          <w:highlight w:val="none"/>
        </w:rPr>
        <w:t>组织培训</w:t>
      </w:r>
      <w:r>
        <w:rPr>
          <w:rFonts w:hint="eastAsia"/>
          <w:highlight w:val="none"/>
          <w:u w:val="single"/>
          <w:lang w:val="en-US" w:eastAsia="zh-CN"/>
        </w:rPr>
        <w:t>90</w:t>
      </w:r>
      <w:r>
        <w:rPr>
          <w:highlight w:val="none"/>
        </w:rPr>
        <w:t>人次</w:t>
      </w:r>
      <w:r>
        <w:rPr>
          <w:spacing w:val="-15"/>
          <w:highlight w:val="none"/>
        </w:rPr>
        <w:t>。</w:t>
      </w:r>
      <w:r>
        <w:rPr>
          <w:highlight w:val="yellow"/>
        </w:rPr>
        <w:t>主要</w:t>
      </w:r>
      <w:r>
        <w:rPr>
          <w:rFonts w:hint="eastAsia"/>
          <w:highlight w:val="yellow"/>
          <w:lang w:val="en-US" w:eastAsia="zh-CN"/>
        </w:rPr>
        <w:t>为举办“务实大讲堂”网络犯罪案件办理培训班，举办2020年全省检察机关聘用制书记员初级晋升中级培训费，业务数据管理与分析研判培训班。</w:t>
      </w:r>
    </w:p>
    <w:p>
      <w:pPr>
        <w:pStyle w:val="2"/>
        <w:keepNext w:val="0"/>
        <w:keepLines w:val="0"/>
        <w:pageBreakBefore w:val="0"/>
        <w:widowControl w:val="0"/>
        <w:kinsoku/>
        <w:wordWrap/>
        <w:overflowPunct/>
        <w:topLinePunct w:val="0"/>
        <w:autoSpaceDE w:val="0"/>
        <w:autoSpaceDN w:val="0"/>
        <w:bidi w:val="0"/>
        <w:adjustRightInd/>
        <w:snapToGrid/>
        <w:spacing w:before="137" w:line="322" w:lineRule="auto"/>
        <w:textAlignment w:val="auto"/>
        <w:rPr>
          <w:highlight w:val="none"/>
        </w:rPr>
      </w:pPr>
      <w:r>
        <w:rPr>
          <w:highlight w:val="none"/>
        </w:rPr>
        <w:t>十一、机关运行经费支出决算情况说明</w:t>
      </w:r>
    </w:p>
    <w:p>
      <w:pPr>
        <w:pStyle w:val="2"/>
        <w:keepNext w:val="0"/>
        <w:keepLines w:val="0"/>
        <w:pageBreakBefore w:val="0"/>
        <w:widowControl w:val="0"/>
        <w:tabs>
          <w:tab w:val="left" w:pos="6181"/>
        </w:tabs>
        <w:kinsoku/>
        <w:wordWrap/>
        <w:overflowPunct/>
        <w:topLinePunct w:val="0"/>
        <w:autoSpaceDE w:val="0"/>
        <w:autoSpaceDN w:val="0"/>
        <w:bidi w:val="0"/>
        <w:adjustRightInd/>
        <w:snapToGrid/>
        <w:spacing w:before="140" w:line="322" w:lineRule="auto"/>
        <w:ind w:right="-150" w:rightChars="-68" w:firstLine="320" w:firstLineChars="100"/>
        <w:textAlignment w:val="auto"/>
        <w:rPr>
          <w:highlight w:val="none"/>
        </w:rPr>
      </w:pPr>
      <w:r>
        <w:rPr>
          <w:highlight w:val="none"/>
        </w:rPr>
        <w:t>2020年本部门机关运行经费支出</w:t>
      </w:r>
      <w:r>
        <w:rPr>
          <w:rFonts w:hint="eastAsia"/>
          <w:highlight w:val="none"/>
          <w:lang w:val="en-US" w:eastAsia="zh-CN"/>
        </w:rPr>
        <w:t>1088.67</w:t>
      </w:r>
      <w:r>
        <w:rPr>
          <w:highlight w:val="none"/>
        </w:rPr>
        <w:t>万元，比上年增加</w:t>
      </w:r>
      <w:r>
        <w:rPr>
          <w:rFonts w:hint="eastAsia"/>
          <w:highlight w:val="none"/>
          <w:lang w:val="en-US" w:eastAsia="zh-CN"/>
        </w:rPr>
        <w:t>221.81</w:t>
      </w:r>
      <w:r>
        <w:rPr>
          <w:highlight w:val="none"/>
        </w:rPr>
        <w:t>万元，增长</w:t>
      </w:r>
      <w:r>
        <w:rPr>
          <w:rFonts w:hint="eastAsia"/>
          <w:highlight w:val="none"/>
          <w:lang w:val="en-US" w:eastAsia="zh-CN"/>
        </w:rPr>
        <w:t xml:space="preserve"> 25  </w:t>
      </w:r>
      <w:r>
        <w:rPr>
          <w:highlight w:val="none"/>
        </w:rPr>
        <w:t>%。主要原因是：</w:t>
      </w:r>
      <w:r>
        <w:rPr>
          <w:rFonts w:hint="eastAsia"/>
          <w:highlight w:val="none"/>
          <w:lang w:val="en-US" w:eastAsia="zh-CN"/>
        </w:rPr>
        <w:t>业务委托费</w:t>
      </w:r>
      <w:r>
        <w:rPr>
          <w:highlight w:val="none"/>
        </w:rPr>
        <w:t>，</w:t>
      </w:r>
      <w:r>
        <w:rPr>
          <w:rFonts w:hint="eastAsia"/>
          <w:highlight w:val="none"/>
          <w:lang w:val="en-US" w:eastAsia="zh-CN"/>
        </w:rPr>
        <w:t>其他商品服务支出，</w:t>
      </w:r>
      <w:r>
        <w:rPr>
          <w:highlight w:val="none"/>
        </w:rPr>
        <w:t>办公设备购置、专用设备购置、信息网络及软件购置更新增加。</w:t>
      </w:r>
    </w:p>
    <w:p>
      <w:pPr>
        <w:pStyle w:val="2"/>
        <w:keepNext w:val="0"/>
        <w:keepLines w:val="0"/>
        <w:pageBreakBefore w:val="0"/>
        <w:widowControl w:val="0"/>
        <w:tabs>
          <w:tab w:val="left" w:pos="6181"/>
        </w:tabs>
        <w:kinsoku/>
        <w:wordWrap/>
        <w:overflowPunct/>
        <w:topLinePunct w:val="0"/>
        <w:autoSpaceDE w:val="0"/>
        <w:autoSpaceDN w:val="0"/>
        <w:bidi w:val="0"/>
        <w:adjustRightInd/>
        <w:snapToGrid/>
        <w:spacing w:before="140" w:line="322" w:lineRule="auto"/>
        <w:ind w:right="-150" w:rightChars="-68" w:firstLine="320" w:firstLineChars="100"/>
        <w:textAlignment w:val="auto"/>
        <w:rPr>
          <w:rFonts w:hint="eastAsia"/>
          <w:highlight w:val="none"/>
          <w:lang w:val="en-US" w:eastAsia="zh-CN"/>
        </w:rPr>
      </w:pPr>
    </w:p>
    <w:p>
      <w:pPr>
        <w:pStyle w:val="2"/>
        <w:keepNext w:val="0"/>
        <w:keepLines w:val="0"/>
        <w:pageBreakBefore w:val="0"/>
        <w:widowControl w:val="0"/>
        <w:tabs>
          <w:tab w:val="left" w:pos="6181"/>
        </w:tabs>
        <w:kinsoku/>
        <w:wordWrap/>
        <w:overflowPunct/>
        <w:topLinePunct w:val="0"/>
        <w:autoSpaceDE w:val="0"/>
        <w:autoSpaceDN w:val="0"/>
        <w:bidi w:val="0"/>
        <w:adjustRightInd/>
        <w:snapToGrid/>
        <w:spacing w:before="140" w:line="322" w:lineRule="auto"/>
        <w:ind w:right="-150" w:rightChars="-68" w:firstLine="320" w:firstLineChars="100"/>
        <w:textAlignment w:val="auto"/>
        <w:rPr>
          <w:rFonts w:hint="eastAsia"/>
          <w:sz w:val="32"/>
          <w:highlight w:val="none"/>
          <w:lang w:val="en-US" w:eastAsia="zh-CN"/>
        </w:rPr>
      </w:pPr>
      <w:r>
        <w:rPr>
          <w:rFonts w:hint="eastAsia"/>
          <w:sz w:val="32"/>
          <w:highlight w:val="none"/>
          <w:lang w:val="en-US" w:eastAsia="zh-CN"/>
        </w:rPr>
        <w:t xml:space="preserve"> </w:t>
      </w:r>
    </w:p>
    <w:p>
      <w:pPr>
        <w:pStyle w:val="2"/>
        <w:keepNext w:val="0"/>
        <w:keepLines w:val="0"/>
        <w:pageBreakBefore w:val="0"/>
        <w:widowControl w:val="0"/>
        <w:tabs>
          <w:tab w:val="left" w:pos="6181"/>
        </w:tabs>
        <w:kinsoku/>
        <w:wordWrap/>
        <w:overflowPunct/>
        <w:topLinePunct w:val="0"/>
        <w:autoSpaceDE w:val="0"/>
        <w:autoSpaceDN w:val="0"/>
        <w:bidi w:val="0"/>
        <w:adjustRightInd/>
        <w:snapToGrid/>
        <w:spacing w:before="140" w:line="322" w:lineRule="auto"/>
        <w:ind w:right="-150" w:rightChars="-68" w:firstLine="320" w:firstLineChars="100"/>
        <w:textAlignment w:val="auto"/>
        <w:rPr>
          <w:rFonts w:hint="default" w:eastAsia="宋体"/>
          <w:sz w:val="32"/>
          <w:highlight w:val="none"/>
          <w:lang w:val="en-US" w:eastAsia="zh-CN"/>
        </w:rPr>
        <w:sectPr>
          <w:pgSz w:w="11910" w:h="16840"/>
          <w:pgMar w:top="1500" w:right="1360" w:bottom="280" w:left="1680" w:header="720" w:footer="720" w:gutter="0"/>
          <w:cols w:space="720" w:num="1"/>
        </w:sectPr>
      </w:pPr>
      <w:r>
        <w:rPr>
          <w:rFonts w:hint="eastAsia"/>
          <w:sz w:val="32"/>
          <w:highlight w:val="none"/>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137" w:line="322" w:lineRule="auto"/>
        <w:textAlignment w:val="auto"/>
        <w:rPr>
          <w:highlight w:val="none"/>
        </w:rPr>
      </w:pPr>
    </w:p>
    <w:p>
      <w:pPr>
        <w:pStyle w:val="2"/>
        <w:spacing w:before="137"/>
        <w:rPr>
          <w:highlight w:val="none"/>
        </w:rPr>
      </w:pPr>
      <w:r>
        <w:rPr>
          <w:highlight w:val="none"/>
        </w:rPr>
        <w:t>十二、政府采购支出决算情况说明</w:t>
      </w:r>
    </w:p>
    <w:p>
      <w:pPr>
        <w:pStyle w:val="2"/>
        <w:spacing w:before="139" w:line="321" w:lineRule="auto"/>
        <w:ind w:left="120" w:right="436" w:firstLine="640"/>
        <w:jc w:val="both"/>
        <w:rPr>
          <w:highlight w:val="none"/>
        </w:rPr>
      </w:pPr>
      <w:r>
        <w:rPr>
          <w:rFonts w:ascii="Times New Roman" w:eastAsia="Times New Roman"/>
          <w:highlight w:val="none"/>
        </w:rPr>
        <w:t>2020</w:t>
      </w:r>
      <w:r>
        <w:rPr>
          <w:highlight w:val="none"/>
        </w:rPr>
        <w:t>年度政府采购支出总额</w:t>
      </w:r>
      <w:r>
        <w:rPr>
          <w:rFonts w:hint="eastAsia"/>
          <w:spacing w:val="144"/>
          <w:highlight w:val="none"/>
          <w:u w:val="single"/>
          <w:lang w:val="en-US" w:eastAsia="zh-CN"/>
        </w:rPr>
        <w:t>275.11</w:t>
      </w:r>
      <w:r>
        <w:rPr>
          <w:spacing w:val="-18"/>
          <w:highlight w:val="none"/>
        </w:rPr>
        <w:t>万元，其中：政府采购货</w:t>
      </w:r>
      <w:r>
        <w:rPr>
          <w:highlight w:val="none"/>
        </w:rPr>
        <w:t>物支出</w:t>
      </w:r>
      <w:r>
        <w:rPr>
          <w:rFonts w:hint="eastAsia"/>
          <w:spacing w:val="154"/>
          <w:highlight w:val="none"/>
          <w:u w:val="single"/>
          <w:lang w:val="en-US" w:eastAsia="zh-CN"/>
        </w:rPr>
        <w:t>275.11</w:t>
      </w:r>
      <w:r>
        <w:rPr>
          <w:spacing w:val="-3"/>
          <w:highlight w:val="none"/>
        </w:rPr>
        <w:t>万元、政府采购工程支出</w:t>
      </w:r>
      <w:r>
        <w:rPr>
          <w:spacing w:val="77"/>
          <w:highlight w:val="none"/>
          <w:u w:val="single"/>
        </w:rPr>
        <w:t xml:space="preserve">  </w:t>
      </w:r>
      <w:r>
        <w:rPr>
          <w:rFonts w:hint="eastAsia"/>
          <w:spacing w:val="77"/>
          <w:highlight w:val="none"/>
          <w:u w:val="single"/>
          <w:lang w:val="en-US" w:eastAsia="zh-CN"/>
        </w:rPr>
        <w:t>0</w:t>
      </w:r>
      <w:r>
        <w:rPr>
          <w:spacing w:val="-2"/>
          <w:highlight w:val="none"/>
        </w:rPr>
        <w:t>万元、政府采购服务支出</w:t>
      </w:r>
      <w:r>
        <w:rPr>
          <w:rFonts w:hint="eastAsia"/>
          <w:spacing w:val="155"/>
          <w:highlight w:val="none"/>
          <w:u w:val="single"/>
          <w:lang w:val="en-US" w:eastAsia="zh-CN"/>
        </w:rPr>
        <w:t>0</w:t>
      </w:r>
      <w:r>
        <w:rPr>
          <w:spacing w:val="-3"/>
          <w:highlight w:val="none"/>
        </w:rPr>
        <w:t>万元。授予中小企业合同金额</w:t>
      </w:r>
      <w:r>
        <w:rPr>
          <w:spacing w:val="78"/>
          <w:highlight w:val="none"/>
          <w:u w:val="single"/>
        </w:rPr>
        <w:t xml:space="preserve">  </w:t>
      </w:r>
      <w:r>
        <w:rPr>
          <w:spacing w:val="-3"/>
          <w:highlight w:val="none"/>
        </w:rPr>
        <w:t>万元，占政府采购支出总额的</w:t>
      </w:r>
      <w:r>
        <w:rPr>
          <w:rFonts w:hint="eastAsia"/>
          <w:spacing w:val="156"/>
          <w:highlight w:val="none"/>
          <w:u w:val="single"/>
          <w:lang w:val="en-US" w:eastAsia="zh-CN"/>
        </w:rPr>
        <w:t>0</w:t>
      </w:r>
      <w:r>
        <w:rPr>
          <w:rFonts w:ascii="Times New Roman" w:eastAsia="Times New Roman"/>
          <w:spacing w:val="-19"/>
          <w:highlight w:val="none"/>
        </w:rPr>
        <w:t>%</w:t>
      </w:r>
      <w:r>
        <w:rPr>
          <w:spacing w:val="-8"/>
          <w:highlight w:val="none"/>
        </w:rPr>
        <w:t>，其中：授予小微企业合同金额</w:t>
      </w:r>
      <w:r>
        <w:rPr>
          <w:rFonts w:hint="eastAsia"/>
          <w:spacing w:val="151"/>
          <w:highlight w:val="none"/>
          <w:u w:val="single"/>
          <w:lang w:val="en-US" w:eastAsia="zh-CN"/>
        </w:rPr>
        <w:t>0</w:t>
      </w:r>
      <w:r>
        <w:rPr>
          <w:spacing w:val="-13"/>
          <w:highlight w:val="none"/>
        </w:rPr>
        <w:t>万元，占</w:t>
      </w:r>
      <w:r>
        <w:rPr>
          <w:highlight w:val="none"/>
        </w:rPr>
        <w:t>政府采购支出总额的</w:t>
      </w:r>
      <w:r>
        <w:rPr>
          <w:rFonts w:hint="eastAsia"/>
          <w:spacing w:val="156"/>
          <w:highlight w:val="none"/>
          <w:u w:val="single"/>
          <w:lang w:val="en-US" w:eastAsia="zh-CN"/>
        </w:rPr>
        <w:t>0</w:t>
      </w:r>
      <w:r>
        <w:rPr>
          <w:rFonts w:ascii="Times New Roman" w:eastAsia="Times New Roman"/>
          <w:highlight w:val="none"/>
        </w:rPr>
        <w:t>%</w:t>
      </w:r>
      <w:r>
        <w:rPr>
          <w:highlight w:val="none"/>
        </w:rPr>
        <w:t>。</w:t>
      </w:r>
    </w:p>
    <w:p>
      <w:pPr>
        <w:pStyle w:val="2"/>
        <w:spacing w:before="4"/>
        <w:rPr>
          <w:highlight w:val="none"/>
        </w:rPr>
      </w:pPr>
      <w:r>
        <w:rPr>
          <w:highlight w:val="none"/>
        </w:rPr>
        <w:t>十三、国有资产占用情况说明</w:t>
      </w:r>
    </w:p>
    <w:p>
      <w:pPr>
        <w:pStyle w:val="2"/>
        <w:spacing w:before="140"/>
        <w:ind w:left="761"/>
        <w:rPr>
          <w:highlight w:val="none"/>
        </w:rPr>
      </w:pPr>
      <w:r>
        <w:rPr>
          <w:highlight w:val="none"/>
        </w:rPr>
        <w:t>本部门共有车辆</w:t>
      </w:r>
      <w:r>
        <w:rPr>
          <w:rFonts w:hint="eastAsia" w:ascii="Times New Roman"/>
          <w:highlight w:val="none"/>
          <w:lang w:val="en-US" w:eastAsia="zh-CN"/>
        </w:rPr>
        <w:t>20</w:t>
      </w:r>
      <w:r>
        <w:rPr>
          <w:highlight w:val="none"/>
        </w:rPr>
        <w:t>辆，其中，副部（省）级及以上领导</w:t>
      </w:r>
    </w:p>
    <w:p>
      <w:pPr>
        <w:pStyle w:val="2"/>
        <w:spacing w:before="43" w:line="321" w:lineRule="auto"/>
        <w:ind w:left="120" w:right="272"/>
        <w:rPr>
          <w:w w:val="99"/>
          <w:highlight w:val="none"/>
        </w:rPr>
      </w:pPr>
      <w:r>
        <w:rPr>
          <w:spacing w:val="2"/>
          <w:highlight w:val="none"/>
        </w:rPr>
        <w:t>用车</w:t>
      </w:r>
      <w:r>
        <w:rPr>
          <w:rFonts w:hint="eastAsia" w:ascii="Times New Roman" w:hAnsi="Times New Roman"/>
          <w:highlight w:val="none"/>
          <w:lang w:val="en-US" w:eastAsia="zh-CN"/>
        </w:rPr>
        <w:t>0</w:t>
      </w:r>
      <w:r>
        <w:rPr>
          <w:highlight w:val="none"/>
        </w:rPr>
        <w:t>辆、主要领导干部用车</w:t>
      </w:r>
      <w:r>
        <w:rPr>
          <w:rFonts w:hint="eastAsia" w:ascii="Times New Roman" w:hAnsi="Times New Roman"/>
          <w:highlight w:val="none"/>
          <w:lang w:val="en-US" w:eastAsia="zh-CN"/>
        </w:rPr>
        <w:t>0</w:t>
      </w:r>
      <w:r>
        <w:rPr>
          <w:highlight w:val="none"/>
        </w:rPr>
        <w:t>辆、机要通信用车</w:t>
      </w:r>
      <w:r>
        <w:rPr>
          <w:rFonts w:hint="eastAsia"/>
          <w:highlight w:val="none"/>
          <w:lang w:val="en-US" w:eastAsia="zh-CN"/>
        </w:rPr>
        <w:t>0</w:t>
      </w:r>
      <w:r>
        <w:rPr>
          <w:spacing w:val="4"/>
          <w:highlight w:val="none"/>
        </w:rPr>
        <w:t>辆、</w:t>
      </w:r>
      <w:r>
        <w:rPr>
          <w:highlight w:val="none"/>
        </w:rPr>
        <w:t>应急保障用车</w:t>
      </w:r>
      <w:r>
        <w:rPr>
          <w:rFonts w:hint="eastAsia"/>
          <w:highlight w:val="none"/>
          <w:lang w:val="en-US" w:eastAsia="zh-CN"/>
        </w:rPr>
        <w:t>0</w:t>
      </w:r>
      <w:r>
        <w:rPr>
          <w:spacing w:val="-8"/>
          <w:highlight w:val="none"/>
        </w:rPr>
        <w:t>辆、执法执勤用车</w:t>
      </w:r>
      <w:r>
        <w:rPr>
          <w:rFonts w:hint="eastAsia" w:ascii="Times New Roman" w:hAnsi="Times New Roman"/>
          <w:highlight w:val="none"/>
          <w:lang w:val="en-US" w:eastAsia="zh-CN"/>
        </w:rPr>
        <w:t>19</w:t>
      </w:r>
      <w:r>
        <w:rPr>
          <w:spacing w:val="-8"/>
          <w:highlight w:val="none"/>
        </w:rPr>
        <w:t>辆、特种专业用车</w:t>
      </w:r>
      <w:r>
        <w:rPr>
          <w:rFonts w:hint="eastAsia"/>
          <w:spacing w:val="-8"/>
          <w:highlight w:val="none"/>
          <w:lang w:val="en-US" w:eastAsia="zh-CN"/>
        </w:rPr>
        <w:t>0</w:t>
      </w:r>
      <w:r>
        <w:rPr>
          <w:spacing w:val="-17"/>
          <w:highlight w:val="none"/>
        </w:rPr>
        <w:t>辆、业务用车</w:t>
      </w:r>
      <w:r>
        <w:rPr>
          <w:rFonts w:hint="eastAsia"/>
          <w:spacing w:val="-17"/>
          <w:highlight w:val="none"/>
          <w:lang w:val="en-US" w:eastAsia="zh-CN"/>
        </w:rPr>
        <w:t>0</w:t>
      </w:r>
      <w:r>
        <w:rPr>
          <w:spacing w:val="-17"/>
          <w:highlight w:val="none"/>
        </w:rPr>
        <w:t>辆，其他用车</w:t>
      </w:r>
      <w:r>
        <w:rPr>
          <w:rFonts w:hint="eastAsia" w:ascii="Times New Roman" w:hAnsi="Times New Roman"/>
          <w:highlight w:val="none"/>
          <w:lang w:val="en-US" w:eastAsia="zh-CN"/>
        </w:rPr>
        <w:t>1</w:t>
      </w:r>
      <w:r>
        <w:rPr>
          <w:spacing w:val="-13"/>
          <w:highlight w:val="none"/>
        </w:rPr>
        <w:t>辆，其他用车主要是</w:t>
      </w:r>
      <w:r>
        <w:rPr>
          <w:rFonts w:hint="eastAsia"/>
          <w:spacing w:val="-13"/>
          <w:highlight w:val="none"/>
          <w:lang w:val="en-US" w:eastAsia="zh-CN"/>
        </w:rPr>
        <w:t>用于执法执勤</w:t>
      </w:r>
      <w:r>
        <w:rPr>
          <w:highlight w:val="none"/>
        </w:rPr>
        <w:t>； 单价</w:t>
      </w:r>
      <w:r>
        <w:rPr>
          <w:rFonts w:ascii="Times New Roman" w:hAnsi="Times New Roman" w:eastAsia="Times New Roman"/>
          <w:highlight w:val="none"/>
        </w:rPr>
        <w:t>50</w:t>
      </w:r>
      <w:r>
        <w:rPr>
          <w:highlight w:val="none"/>
        </w:rPr>
        <w:t>万元（含）以上的通用设备</w:t>
      </w:r>
      <w:r>
        <w:rPr>
          <w:rFonts w:hint="eastAsia"/>
          <w:highlight w:val="none"/>
          <w:lang w:val="en-US" w:eastAsia="zh-CN"/>
        </w:rPr>
        <w:t>0</w:t>
      </w:r>
      <w:r>
        <w:rPr>
          <w:highlight w:val="none"/>
        </w:rPr>
        <w:t>台（套），单价</w:t>
      </w:r>
      <w:r>
        <w:rPr>
          <w:rFonts w:ascii="Times New Roman" w:hAnsi="Times New Roman" w:eastAsia="Times New Roman"/>
          <w:highlight w:val="none"/>
        </w:rPr>
        <w:t>100</w:t>
      </w:r>
      <w:r>
        <w:rPr>
          <w:highlight w:val="none"/>
        </w:rPr>
        <w:t>万</w:t>
      </w:r>
      <w:r>
        <w:rPr>
          <w:spacing w:val="-133"/>
          <w:w w:val="99"/>
          <w:highlight w:val="none"/>
        </w:rPr>
        <w:t>元</w:t>
      </w:r>
      <w:r>
        <w:rPr>
          <w:spacing w:val="2"/>
          <w:w w:val="99"/>
          <w:highlight w:val="none"/>
        </w:rPr>
        <w:t>（</w:t>
      </w:r>
      <w:r>
        <w:rPr>
          <w:w w:val="99"/>
          <w:highlight w:val="none"/>
        </w:rPr>
        <w:t>含</w:t>
      </w:r>
      <w:r>
        <w:rPr>
          <w:spacing w:val="-133"/>
          <w:w w:val="99"/>
          <w:highlight w:val="none"/>
        </w:rPr>
        <w:t>）</w:t>
      </w:r>
      <w:r>
        <w:rPr>
          <w:w w:val="99"/>
          <w:highlight w:val="none"/>
        </w:rPr>
        <w:t>以上的专用设备</w:t>
      </w:r>
      <w:r>
        <w:rPr>
          <w:rFonts w:hint="eastAsia"/>
          <w:w w:val="99"/>
          <w:highlight w:val="none"/>
          <w:lang w:val="en-US" w:eastAsia="zh-CN"/>
        </w:rPr>
        <w:t>0</w:t>
      </w:r>
      <w:r>
        <w:rPr>
          <w:spacing w:val="-133"/>
          <w:w w:val="99"/>
          <w:highlight w:val="none"/>
        </w:rPr>
        <w:t>台</w:t>
      </w:r>
      <w:r>
        <w:rPr>
          <w:w w:val="99"/>
          <w:highlight w:val="none"/>
        </w:rPr>
        <w:t>（套</w:t>
      </w:r>
      <w:r>
        <w:rPr>
          <w:spacing w:val="-264"/>
          <w:w w:val="99"/>
          <w:highlight w:val="none"/>
        </w:rPr>
        <w:t>）</w:t>
      </w:r>
      <w:r>
        <w:rPr>
          <w:w w:val="99"/>
          <w:highlight w:val="none"/>
        </w:rPr>
        <w:t>。</w:t>
      </w:r>
    </w:p>
    <w:p>
      <w:pPr>
        <w:pStyle w:val="2"/>
        <w:spacing w:before="43" w:line="321" w:lineRule="auto"/>
        <w:ind w:left="120" w:right="272"/>
        <w:rPr>
          <w:w w:val="99"/>
          <w:highlight w:val="none"/>
        </w:rPr>
      </w:pPr>
    </w:p>
    <w:p>
      <w:pPr>
        <w:pStyle w:val="2"/>
        <w:spacing w:line="396" w:lineRule="exact"/>
        <w:rPr>
          <w:highlight w:val="none"/>
        </w:rPr>
      </w:pPr>
      <w:r>
        <w:rPr>
          <w:highlight w:val="none"/>
        </w:rPr>
        <w:t>十四、预算绩效评价工作开展情况</w:t>
      </w:r>
    </w:p>
    <w:p>
      <w:pPr>
        <w:pStyle w:val="2"/>
        <w:tabs>
          <w:tab w:val="left" w:pos="4596"/>
        </w:tabs>
        <w:spacing w:before="140" w:line="321" w:lineRule="auto"/>
        <w:ind w:left="120" w:right="435" w:firstLine="640"/>
        <w:jc w:val="both"/>
        <w:rPr>
          <w:rFonts w:ascii="仿宋" w:hAnsi="仿宋" w:eastAsia="仿宋"/>
          <w:highlight w:val="none"/>
        </w:rPr>
      </w:pPr>
      <w:r>
        <w:rPr>
          <w:rFonts w:ascii="Times New Roman" w:hAnsi="Times New Roman" w:eastAsia="Times New Roman"/>
          <w:spacing w:val="2"/>
          <w:highlight w:val="none"/>
        </w:rPr>
        <w:t>2020</w:t>
      </w:r>
      <w:r>
        <w:rPr>
          <w:rFonts w:hint="eastAsia" w:ascii="仿宋" w:hAnsi="仿宋" w:eastAsia="仿宋"/>
          <w:spacing w:val="7"/>
          <w:highlight w:val="none"/>
        </w:rPr>
        <w:t>年度</w:t>
      </w:r>
      <w:r>
        <w:rPr>
          <w:rFonts w:hint="eastAsia" w:ascii="仿宋" w:hAnsi="仿宋" w:eastAsia="仿宋"/>
          <w:spacing w:val="9"/>
          <w:highlight w:val="none"/>
        </w:rPr>
        <w:t>，</w:t>
      </w:r>
      <w:r>
        <w:rPr>
          <w:rFonts w:hint="eastAsia" w:ascii="仿宋" w:hAnsi="仿宋" w:eastAsia="仿宋"/>
          <w:spacing w:val="7"/>
          <w:highlight w:val="none"/>
        </w:rPr>
        <w:t>本部</w:t>
      </w:r>
      <w:r>
        <w:rPr>
          <w:rFonts w:hint="eastAsia" w:ascii="仿宋" w:hAnsi="仿宋" w:eastAsia="仿宋"/>
          <w:spacing w:val="8"/>
          <w:highlight w:val="none"/>
        </w:rPr>
        <w:t>门</w:t>
      </w:r>
      <w:r>
        <w:rPr>
          <w:rFonts w:hint="eastAsia" w:ascii="仿宋" w:hAnsi="仿宋" w:eastAsia="仿宋"/>
          <w:spacing w:val="9"/>
          <w:highlight w:val="none"/>
        </w:rPr>
        <w:t>共</w:t>
      </w:r>
      <w:r>
        <w:rPr>
          <w:rFonts w:hint="eastAsia" w:ascii="仿宋" w:hAnsi="仿宋" w:eastAsia="仿宋"/>
          <w:spacing w:val="142"/>
          <w:highlight w:val="none"/>
          <w:u w:val="single"/>
          <w:lang w:val="en-US" w:eastAsia="zh-CN"/>
        </w:rPr>
        <w:t>0</w:t>
      </w:r>
      <w:r>
        <w:rPr>
          <w:rFonts w:hint="eastAsia" w:ascii="仿宋" w:hAnsi="仿宋" w:eastAsia="仿宋"/>
          <w:spacing w:val="7"/>
          <w:highlight w:val="none"/>
        </w:rPr>
        <w:t>个项目开展</w:t>
      </w:r>
      <w:r>
        <w:rPr>
          <w:rFonts w:hint="eastAsia" w:ascii="仿宋" w:hAnsi="仿宋" w:eastAsia="仿宋"/>
          <w:spacing w:val="10"/>
          <w:highlight w:val="none"/>
        </w:rPr>
        <w:t>了</w:t>
      </w:r>
      <w:r>
        <w:rPr>
          <w:rFonts w:hint="eastAsia" w:ascii="仿宋" w:hAnsi="仿宋" w:eastAsia="仿宋"/>
          <w:spacing w:val="7"/>
          <w:highlight w:val="none"/>
        </w:rPr>
        <w:t>财政重</w:t>
      </w:r>
      <w:r>
        <w:rPr>
          <w:rFonts w:hint="eastAsia" w:ascii="仿宋" w:hAnsi="仿宋" w:eastAsia="仿宋"/>
          <w:spacing w:val="9"/>
          <w:highlight w:val="none"/>
        </w:rPr>
        <w:t>点</w:t>
      </w:r>
      <w:r>
        <w:rPr>
          <w:rFonts w:hint="eastAsia" w:ascii="仿宋" w:hAnsi="仿宋" w:eastAsia="仿宋"/>
          <w:spacing w:val="7"/>
          <w:highlight w:val="none"/>
        </w:rPr>
        <w:t>绩</w:t>
      </w:r>
      <w:r>
        <w:rPr>
          <w:rFonts w:hint="eastAsia" w:ascii="仿宋" w:hAnsi="仿宋" w:eastAsia="仿宋"/>
          <w:spacing w:val="9"/>
          <w:highlight w:val="none"/>
        </w:rPr>
        <w:t>效</w:t>
      </w:r>
      <w:r>
        <w:rPr>
          <w:rFonts w:hint="eastAsia" w:ascii="仿宋" w:hAnsi="仿宋" w:eastAsia="仿宋"/>
          <w:spacing w:val="-12"/>
          <w:highlight w:val="none"/>
        </w:rPr>
        <w:t>评</w:t>
      </w:r>
      <w:r>
        <w:rPr>
          <w:rFonts w:hint="eastAsia" w:ascii="仿宋" w:hAnsi="仿宋" w:eastAsia="仿宋"/>
          <w:highlight w:val="none"/>
        </w:rPr>
        <w:t>价，涉及财政性资金合</w:t>
      </w:r>
      <w:r>
        <w:rPr>
          <w:rFonts w:hint="eastAsia" w:ascii="仿宋" w:hAnsi="仿宋" w:eastAsia="仿宋"/>
          <w:spacing w:val="3"/>
          <w:highlight w:val="none"/>
        </w:rPr>
        <w:t>计</w:t>
      </w:r>
      <w:r>
        <w:rPr>
          <w:rFonts w:hint="eastAsia" w:ascii="仿宋" w:hAnsi="仿宋" w:eastAsia="仿宋"/>
          <w:spacing w:val="3"/>
          <w:highlight w:val="none"/>
          <w:u w:val="single"/>
          <w:lang w:val="en-US" w:eastAsia="zh-CN"/>
        </w:rPr>
        <w:t>0</w:t>
      </w:r>
      <w:r>
        <w:rPr>
          <w:rFonts w:hint="eastAsia" w:ascii="仿宋" w:hAnsi="仿宋" w:eastAsia="仿宋"/>
          <w:highlight w:val="none"/>
        </w:rPr>
        <w:t>万元</w:t>
      </w:r>
      <w:r>
        <w:rPr>
          <w:rFonts w:hint="eastAsia" w:ascii="仿宋" w:hAnsi="仿宋" w:eastAsia="仿宋"/>
          <w:spacing w:val="-3"/>
          <w:highlight w:val="none"/>
        </w:rPr>
        <w:t>；</w:t>
      </w:r>
      <w:r>
        <w:rPr>
          <w:rFonts w:hint="eastAsia" w:ascii="仿宋" w:hAnsi="仿宋" w:eastAsia="仿宋"/>
          <w:highlight w:val="none"/>
        </w:rPr>
        <w:t>本部门（</w:t>
      </w:r>
      <w:r>
        <w:rPr>
          <w:rFonts w:hint="eastAsia" w:ascii="Times New Roman" w:hAnsi="Times New Roman" w:eastAsia="仿宋" w:cs="Times New Roman"/>
          <w:kern w:val="0"/>
          <w:sz w:val="32"/>
          <w:szCs w:val="32"/>
          <w:highlight w:val="none"/>
          <w:lang w:eastAsia="zh-CN"/>
        </w:rPr>
        <w:t>☑</w:t>
      </w:r>
      <w:r>
        <w:rPr>
          <w:rFonts w:hint="eastAsia" w:ascii="仿宋" w:hAnsi="仿宋" w:eastAsia="仿宋"/>
          <w:highlight w:val="none"/>
        </w:rPr>
        <w:t>开展</w:t>
      </w:r>
      <w:r>
        <w:rPr>
          <w:rFonts w:hint="eastAsia" w:ascii="仿宋" w:hAnsi="仿宋" w:eastAsia="仿宋"/>
          <w:spacing w:val="-3"/>
          <w:highlight w:val="none"/>
        </w:rPr>
        <w:t>、</w:t>
      </w:r>
      <w:r>
        <w:rPr>
          <w:rFonts w:hint="eastAsia" w:ascii="仿宋" w:hAnsi="仿宋" w:eastAsia="仿宋"/>
          <w:highlight w:val="none"/>
        </w:rPr>
        <w:t xml:space="preserve">□ </w:t>
      </w:r>
      <w:r>
        <w:rPr>
          <w:rFonts w:hint="eastAsia" w:ascii="仿宋" w:hAnsi="仿宋" w:eastAsia="仿宋"/>
          <w:spacing w:val="28"/>
          <w:highlight w:val="none"/>
        </w:rPr>
        <w:t>未开展</w:t>
      </w:r>
      <w:r>
        <w:rPr>
          <w:rFonts w:hint="eastAsia" w:ascii="仿宋" w:hAnsi="仿宋" w:eastAsia="仿宋"/>
          <w:spacing w:val="26"/>
          <w:highlight w:val="none"/>
        </w:rPr>
        <w:t>）</w:t>
      </w:r>
      <w:r>
        <w:rPr>
          <w:rFonts w:hint="eastAsia" w:ascii="仿宋" w:hAnsi="仿宋" w:eastAsia="仿宋"/>
          <w:spacing w:val="28"/>
          <w:highlight w:val="none"/>
        </w:rPr>
        <w:t>财政</w:t>
      </w:r>
      <w:r>
        <w:rPr>
          <w:rFonts w:hint="eastAsia" w:ascii="仿宋" w:hAnsi="仿宋" w:eastAsia="仿宋"/>
          <w:spacing w:val="26"/>
          <w:highlight w:val="none"/>
        </w:rPr>
        <w:t>整</w:t>
      </w:r>
      <w:r>
        <w:rPr>
          <w:rFonts w:hint="eastAsia" w:ascii="仿宋" w:hAnsi="仿宋" w:eastAsia="仿宋"/>
          <w:spacing w:val="28"/>
          <w:highlight w:val="none"/>
        </w:rPr>
        <w:t>体支出</w:t>
      </w:r>
      <w:r>
        <w:rPr>
          <w:rFonts w:hint="eastAsia" w:ascii="仿宋" w:hAnsi="仿宋" w:eastAsia="仿宋"/>
          <w:spacing w:val="26"/>
          <w:highlight w:val="none"/>
        </w:rPr>
        <w:t>重</w:t>
      </w:r>
      <w:r>
        <w:rPr>
          <w:rFonts w:hint="eastAsia" w:ascii="仿宋" w:hAnsi="仿宋" w:eastAsia="仿宋"/>
          <w:spacing w:val="28"/>
          <w:highlight w:val="none"/>
        </w:rPr>
        <w:t>点绩</w:t>
      </w:r>
      <w:r>
        <w:rPr>
          <w:rFonts w:hint="eastAsia" w:ascii="仿宋" w:hAnsi="仿宋" w:eastAsia="仿宋"/>
          <w:spacing w:val="26"/>
          <w:highlight w:val="none"/>
        </w:rPr>
        <w:t>效</w:t>
      </w:r>
      <w:r>
        <w:rPr>
          <w:rFonts w:hint="eastAsia" w:ascii="仿宋" w:hAnsi="仿宋" w:eastAsia="仿宋"/>
          <w:spacing w:val="28"/>
          <w:highlight w:val="none"/>
        </w:rPr>
        <w:t>评价</w:t>
      </w:r>
      <w:r>
        <w:rPr>
          <w:rFonts w:hint="eastAsia" w:ascii="仿宋" w:hAnsi="仿宋" w:eastAsia="仿宋"/>
          <w:highlight w:val="none"/>
        </w:rPr>
        <w:t>，</w:t>
      </w:r>
      <w:r>
        <w:rPr>
          <w:rFonts w:hint="eastAsia" w:ascii="仿宋" w:hAnsi="仿宋" w:eastAsia="仿宋"/>
          <w:spacing w:val="-143"/>
          <w:highlight w:val="none"/>
        </w:rPr>
        <w:t xml:space="preserve"> </w:t>
      </w:r>
      <w:r>
        <w:rPr>
          <w:rFonts w:hint="eastAsia" w:ascii="仿宋" w:hAnsi="仿宋" w:eastAsia="仿宋"/>
          <w:spacing w:val="26"/>
          <w:highlight w:val="none"/>
        </w:rPr>
        <w:t>涉</w:t>
      </w:r>
      <w:r>
        <w:rPr>
          <w:rFonts w:hint="eastAsia" w:ascii="仿宋" w:hAnsi="仿宋" w:eastAsia="仿宋"/>
          <w:spacing w:val="28"/>
          <w:highlight w:val="none"/>
        </w:rPr>
        <w:t>及财</w:t>
      </w:r>
      <w:r>
        <w:rPr>
          <w:rFonts w:hint="eastAsia" w:ascii="仿宋" w:hAnsi="仿宋" w:eastAsia="仿宋"/>
          <w:spacing w:val="26"/>
          <w:highlight w:val="none"/>
        </w:rPr>
        <w:t>政</w:t>
      </w:r>
      <w:r>
        <w:rPr>
          <w:rFonts w:hint="eastAsia" w:ascii="仿宋" w:hAnsi="仿宋" w:eastAsia="仿宋"/>
          <w:spacing w:val="28"/>
          <w:highlight w:val="none"/>
        </w:rPr>
        <w:t>性资</w:t>
      </w:r>
      <w:r>
        <w:rPr>
          <w:rFonts w:hint="eastAsia" w:ascii="仿宋" w:hAnsi="仿宋" w:eastAsia="仿宋"/>
          <w:highlight w:val="none"/>
        </w:rPr>
        <w:t>金</w:t>
      </w:r>
    </w:p>
    <w:p>
      <w:pPr>
        <w:tabs>
          <w:tab w:val="left" w:pos="1080"/>
          <w:tab w:val="left" w:pos="3322"/>
          <w:tab w:val="left" w:pos="4354"/>
        </w:tabs>
        <w:spacing w:before="3" w:line="316" w:lineRule="auto"/>
        <w:ind w:left="120" w:right="439"/>
        <w:rPr>
          <w:rFonts w:hint="eastAsia" w:eastAsia="仿宋"/>
          <w:highlight w:val="none"/>
          <w:lang w:eastAsia="zh-CN"/>
        </w:rPr>
        <w:sectPr>
          <w:pgSz w:w="11910" w:h="16840"/>
          <w:pgMar w:top="1500" w:right="1360" w:bottom="280" w:left="1680" w:header="720" w:footer="720" w:gutter="0"/>
          <w:cols w:space="720" w:num="1"/>
        </w:sectPr>
      </w:pPr>
      <w:r>
        <w:rPr>
          <w:rFonts w:hint="eastAsia" w:ascii="Times New Roman"/>
          <w:w w:val="99"/>
          <w:sz w:val="32"/>
          <w:highlight w:val="none"/>
          <w:u w:val="single"/>
          <w:lang w:val="en-US" w:eastAsia="zh-CN"/>
        </w:rPr>
        <w:t>0</w:t>
      </w:r>
      <w:r>
        <w:rPr>
          <w:rFonts w:hint="eastAsia" w:ascii="仿宋" w:eastAsia="仿宋"/>
          <w:sz w:val="32"/>
          <w:highlight w:val="none"/>
        </w:rPr>
        <w:t>万元</w:t>
      </w:r>
      <w:r>
        <w:rPr>
          <w:rFonts w:hint="eastAsia" w:ascii="仿宋" w:eastAsia="仿宋"/>
          <w:spacing w:val="-87"/>
          <w:sz w:val="32"/>
          <w:highlight w:val="none"/>
        </w:rPr>
        <w:t>；</w:t>
      </w:r>
      <w:r>
        <w:rPr>
          <w:rFonts w:hint="eastAsia" w:ascii="仿宋" w:eastAsia="仿宋"/>
          <w:sz w:val="32"/>
          <w:highlight w:val="none"/>
        </w:rPr>
        <w:t>本部门单位共</w:t>
      </w:r>
      <w:r>
        <w:rPr>
          <w:rFonts w:hint="eastAsia" w:ascii="仿宋" w:eastAsia="仿宋"/>
          <w:sz w:val="32"/>
          <w:highlight w:val="none"/>
          <w:u w:val="single"/>
          <w:lang w:val="en-US" w:eastAsia="zh-CN"/>
        </w:rPr>
        <w:t>1</w:t>
      </w:r>
      <w:r>
        <w:rPr>
          <w:rFonts w:hint="eastAsia" w:ascii="仿宋" w:eastAsia="仿宋"/>
          <w:sz w:val="32"/>
          <w:highlight w:val="none"/>
        </w:rPr>
        <w:t>个项目开展了绩效自评</w:t>
      </w:r>
      <w:r>
        <w:rPr>
          <w:rFonts w:hint="eastAsia" w:ascii="仿宋" w:eastAsia="仿宋"/>
          <w:spacing w:val="-87"/>
          <w:sz w:val="32"/>
          <w:highlight w:val="none"/>
        </w:rPr>
        <w:t>，</w:t>
      </w:r>
      <w:r>
        <w:rPr>
          <w:rFonts w:hint="eastAsia" w:ascii="仿宋" w:eastAsia="仿宋"/>
          <w:sz w:val="32"/>
          <w:highlight w:val="none"/>
        </w:rPr>
        <w:t>涉</w:t>
      </w:r>
      <w:r>
        <w:rPr>
          <w:rFonts w:hint="eastAsia" w:ascii="仿宋" w:eastAsia="仿宋"/>
          <w:spacing w:val="-16"/>
          <w:sz w:val="32"/>
          <w:highlight w:val="none"/>
        </w:rPr>
        <w:t>及</w:t>
      </w:r>
      <w:r>
        <w:rPr>
          <w:rFonts w:hint="eastAsia" w:ascii="仿宋" w:eastAsia="仿宋"/>
          <w:sz w:val="32"/>
          <w:highlight w:val="none"/>
        </w:rPr>
        <w:t>财政性资金合</w:t>
      </w:r>
      <w:r>
        <w:rPr>
          <w:rFonts w:hint="eastAsia" w:ascii="仿宋" w:eastAsia="仿宋"/>
          <w:spacing w:val="3"/>
          <w:sz w:val="32"/>
          <w:highlight w:val="none"/>
        </w:rPr>
        <w:t>计</w:t>
      </w:r>
      <w:r>
        <w:rPr>
          <w:rFonts w:hint="eastAsia" w:ascii="仿宋" w:eastAsia="仿宋"/>
          <w:spacing w:val="3"/>
          <w:sz w:val="32"/>
          <w:highlight w:val="none"/>
          <w:u w:val="single"/>
          <w:lang w:val="en-US" w:eastAsia="zh-CN"/>
        </w:rPr>
        <w:t>90</w:t>
      </w:r>
      <w:r>
        <w:rPr>
          <w:rFonts w:hint="eastAsia" w:ascii="仿宋" w:eastAsia="仿宋"/>
          <w:sz w:val="32"/>
          <w:highlight w:val="none"/>
        </w:rPr>
        <w:t>万元</w:t>
      </w:r>
      <w:r>
        <w:rPr>
          <w:rFonts w:hint="eastAsia" w:ascii="仿宋" w:eastAsia="仿宋"/>
          <w:sz w:val="32"/>
          <w:highlight w:val="none"/>
          <w:lang w:eastAsia="zh-CN"/>
        </w:rPr>
        <w:t>。</w:t>
      </w:r>
    </w:p>
    <w:p>
      <w:pPr>
        <w:pStyle w:val="12"/>
        <w:tabs>
          <w:tab w:val="left" w:pos="1799"/>
        </w:tabs>
        <w:ind w:right="318"/>
        <w:jc w:val="both"/>
        <w:rPr>
          <w:rFonts w:hint="eastAsia"/>
          <w:highlight w:val="none"/>
        </w:rPr>
      </w:pPr>
    </w:p>
    <w:p>
      <w:pPr>
        <w:pStyle w:val="12"/>
        <w:keepNext w:val="0"/>
        <w:keepLines w:val="0"/>
        <w:pageBreakBefore w:val="0"/>
        <w:widowControl w:val="0"/>
        <w:numPr>
          <w:ilvl w:val="0"/>
          <w:numId w:val="0"/>
        </w:numPr>
        <w:tabs>
          <w:tab w:val="left" w:pos="1799"/>
        </w:tabs>
        <w:kinsoku/>
        <w:wordWrap/>
        <w:overflowPunct/>
        <w:topLinePunct w:val="0"/>
        <w:autoSpaceDE w:val="0"/>
        <w:autoSpaceDN w:val="0"/>
        <w:bidi w:val="0"/>
        <w:adjustRightInd/>
        <w:snapToGrid/>
        <w:spacing w:line="322" w:lineRule="auto"/>
        <w:ind w:right="317" w:rightChars="0"/>
        <w:jc w:val="left"/>
        <w:textAlignment w:val="auto"/>
        <w:rPr>
          <w:rFonts w:hint="eastAsia"/>
          <w:sz w:val="30"/>
          <w:szCs w:val="30"/>
          <w:highlight w:val="none"/>
        </w:rPr>
      </w:pPr>
    </w:p>
    <w:p>
      <w:pPr>
        <w:pStyle w:val="12"/>
        <w:keepNext w:val="0"/>
        <w:keepLines w:val="0"/>
        <w:pageBreakBefore w:val="0"/>
        <w:widowControl w:val="0"/>
        <w:numPr>
          <w:ilvl w:val="0"/>
          <w:numId w:val="0"/>
        </w:numPr>
        <w:tabs>
          <w:tab w:val="left" w:pos="1799"/>
        </w:tabs>
        <w:kinsoku/>
        <w:wordWrap/>
        <w:overflowPunct/>
        <w:topLinePunct w:val="0"/>
        <w:autoSpaceDE w:val="0"/>
        <w:autoSpaceDN w:val="0"/>
        <w:bidi w:val="0"/>
        <w:adjustRightInd/>
        <w:snapToGrid/>
        <w:spacing w:line="322" w:lineRule="auto"/>
        <w:ind w:right="317" w:rightChars="0"/>
        <w:jc w:val="left"/>
        <w:textAlignment w:val="auto"/>
        <w:outlineLvl w:val="4"/>
        <w:rPr>
          <w:rFonts w:hint="eastAsia"/>
          <w:sz w:val="30"/>
          <w:szCs w:val="30"/>
          <w:highlight w:val="none"/>
        </w:rPr>
      </w:pPr>
    </w:p>
    <w:p>
      <w:pPr>
        <w:pStyle w:val="12"/>
        <w:keepNext w:val="0"/>
        <w:keepLines w:val="0"/>
        <w:pageBreakBefore w:val="0"/>
        <w:widowControl w:val="0"/>
        <w:numPr>
          <w:ilvl w:val="0"/>
          <w:numId w:val="0"/>
        </w:numPr>
        <w:tabs>
          <w:tab w:val="left" w:pos="1799"/>
        </w:tabs>
        <w:kinsoku/>
        <w:wordWrap/>
        <w:overflowPunct/>
        <w:topLinePunct w:val="0"/>
        <w:autoSpaceDE w:val="0"/>
        <w:autoSpaceDN w:val="0"/>
        <w:bidi w:val="0"/>
        <w:adjustRightInd/>
        <w:snapToGrid/>
        <w:spacing w:line="322" w:lineRule="auto"/>
        <w:ind w:right="317" w:rightChars="0"/>
        <w:jc w:val="left"/>
        <w:textAlignment w:val="auto"/>
        <w:outlineLvl w:val="4"/>
        <w:rPr>
          <w:rFonts w:hint="eastAsia"/>
          <w:sz w:val="30"/>
          <w:szCs w:val="30"/>
          <w:highlight w:val="none"/>
        </w:rPr>
      </w:pPr>
    </w:p>
    <w:p>
      <w:pPr>
        <w:pStyle w:val="12"/>
        <w:keepNext w:val="0"/>
        <w:keepLines w:val="0"/>
        <w:pageBreakBefore w:val="0"/>
        <w:widowControl w:val="0"/>
        <w:numPr>
          <w:ilvl w:val="0"/>
          <w:numId w:val="0"/>
        </w:numPr>
        <w:tabs>
          <w:tab w:val="left" w:pos="1799"/>
        </w:tabs>
        <w:kinsoku/>
        <w:wordWrap/>
        <w:overflowPunct/>
        <w:topLinePunct w:val="0"/>
        <w:autoSpaceDE w:val="0"/>
        <w:autoSpaceDN w:val="0"/>
        <w:bidi w:val="0"/>
        <w:adjustRightInd/>
        <w:snapToGrid/>
        <w:spacing w:line="322" w:lineRule="auto"/>
        <w:ind w:right="317" w:rightChars="0"/>
        <w:jc w:val="left"/>
        <w:textAlignment w:val="auto"/>
        <w:outlineLvl w:val="4"/>
        <w:rPr>
          <w:rFonts w:hint="eastAsia"/>
          <w:sz w:val="30"/>
          <w:szCs w:val="30"/>
          <w:highlight w:val="none"/>
        </w:rPr>
      </w:pPr>
    </w:p>
    <w:p>
      <w:pPr>
        <w:pStyle w:val="12"/>
        <w:keepNext w:val="0"/>
        <w:keepLines w:val="0"/>
        <w:pageBreakBefore w:val="0"/>
        <w:widowControl w:val="0"/>
        <w:numPr>
          <w:ilvl w:val="0"/>
          <w:numId w:val="3"/>
        </w:numPr>
        <w:tabs>
          <w:tab w:val="left" w:pos="1799"/>
        </w:tabs>
        <w:kinsoku/>
        <w:wordWrap/>
        <w:overflowPunct/>
        <w:topLinePunct w:val="0"/>
        <w:autoSpaceDE w:val="0"/>
        <w:autoSpaceDN w:val="0"/>
        <w:bidi w:val="0"/>
        <w:adjustRightInd/>
        <w:snapToGrid/>
        <w:spacing w:line="322" w:lineRule="auto"/>
        <w:ind w:right="317" w:firstLine="2700" w:firstLineChars="900"/>
        <w:jc w:val="left"/>
        <w:textAlignment w:val="auto"/>
        <w:rPr>
          <w:rFonts w:hint="eastAsia"/>
          <w:sz w:val="30"/>
          <w:szCs w:val="30"/>
          <w:highlight w:val="none"/>
        </w:rPr>
      </w:pPr>
      <w:r>
        <w:rPr>
          <w:rFonts w:hint="eastAsia"/>
          <w:sz w:val="30"/>
          <w:szCs w:val="30"/>
          <w:highlight w:val="none"/>
        </w:rPr>
        <w:t>名词解释</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一、财政拨款收入：指单位本年度从同级财政部门取得的财</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政拨款。</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二、上级补助收入：指事业单位从主管部门和上级单位取得</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的非财政补助收入。</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三、事业收入：指事业单位开展专业业务活动及其辅助活动</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取得的收入，事业单位收到的财政专户实际核拨的教育收费</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等资金在此反映。</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四、经营收入：指事业单位在专业业务活动及其辅助活动之</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外开展非独立核算经营活动取得的收入。</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五、附属单位缴款：指事业单位附属独立核算单位按照有关</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规定上缴的收入。</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六、其他收入：指单位取得的除上述“财政拨款收入”、“事业</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收入”、“经营收入”等以外的各项收入。</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七、用事业基金弥补收支差额：指事业单位用事业基金弥补</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当年收支差额的数额。</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八、年初结转和结余：指单位上年结转本年使用的基本支出</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结转、项目支出结转和结余和经营结余。</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九、结余分配：指事业单位按规定对非财政补助结余资金提</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取的职工福利基金、事业基金和缴纳的所得税，以及减少单</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位按规定应缴回的基本建设竣工项目结余资金。</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十、年末结转和结余资金：指本年度或以前年度预算安排、</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因客观条件发生变化无法按原计划实施，需要延迟到以后年</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度按有关规定继续使用的资金。</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十一、基本支出：指为保障机构正常运转、完成日常工作任</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务而发生的人员支出和公用支出。</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十二、项目支出：指在基本支出之外为完成特定的行政任务</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或事业发展目标所发生的支出。</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十三、上缴上级支出：指事业单位按照财政部门和主管部门</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的规定上缴上级单位的支出。</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十四、经营支出：指事业单位在专业业务活动及其辅助活动</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之外开展非独立核算经营活动发生的支出。</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十五、对附属单位补助支出：指事业单位用财政补助收入之</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外的收入对附属单位补助发生的支出。</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十六、“三公”经费：指部门用一般公共预算财政拨款安排的</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因公出国（境）费、公务用车购置及运行费和公务接待费。</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其中，因公出国（境）费反映单位公务出国（境）的住宿费、</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旅费、伙食补助费、杂费、培训费等支出；公务用车购置及</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运行费反映单位公务用车购置费、燃料费、维修费、过路过</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桥费、保险费、安全奖励费用等支出；公务接待费反映单位</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按规定开支的各类公务接待（含外宾接待）支出。</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十七、机关运行经费：指行政单位（含参照公务员法管理的</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事业单位）使用一般公共预算安排的基本支出中的日常公用</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经费支出，包括办公及印刷费、邮电费、差旅费、会议费、</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福利费、日常维修费、专用材料及一般设备购置费、办公用</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sz w:val="30"/>
          <w:szCs w:val="30"/>
          <w:highlight w:val="none"/>
        </w:rPr>
      </w:pPr>
      <w:r>
        <w:rPr>
          <w:rFonts w:hint="eastAsia"/>
          <w:sz w:val="30"/>
          <w:szCs w:val="30"/>
          <w:highlight w:val="none"/>
        </w:rPr>
        <w:t>房水电费、办公用房取暖费、办公用房物业管理费、公务用</w:t>
      </w:r>
    </w:p>
    <w:p>
      <w:pPr>
        <w:pStyle w:val="12"/>
        <w:keepNext w:val="0"/>
        <w:keepLines w:val="0"/>
        <w:pageBreakBefore w:val="0"/>
        <w:widowControl w:val="0"/>
        <w:tabs>
          <w:tab w:val="left" w:pos="1799"/>
        </w:tabs>
        <w:kinsoku/>
        <w:wordWrap/>
        <w:overflowPunct/>
        <w:topLinePunct w:val="0"/>
        <w:autoSpaceDE w:val="0"/>
        <w:autoSpaceDN w:val="0"/>
        <w:bidi w:val="0"/>
        <w:adjustRightInd/>
        <w:snapToGrid/>
        <w:spacing w:line="322" w:lineRule="auto"/>
        <w:ind w:right="317"/>
        <w:jc w:val="left"/>
        <w:textAlignment w:val="auto"/>
        <w:rPr>
          <w:rFonts w:hint="eastAsia"/>
          <w:lang w:eastAsia="zh-CN"/>
        </w:rPr>
      </w:pPr>
      <w:r>
        <w:rPr>
          <w:rFonts w:hint="eastAsia"/>
          <w:sz w:val="30"/>
          <w:szCs w:val="30"/>
          <w:highlight w:val="none"/>
        </w:rPr>
        <w:t>车运行维护费及其他费用。</w:t>
      </w:r>
    </w:p>
    <w:p>
      <w:pPr>
        <w:bidi w:val="0"/>
        <w:rPr>
          <w:rFonts w:hint="eastAsia"/>
          <w:lang w:eastAsia="zh-CN"/>
        </w:rPr>
      </w:pPr>
    </w:p>
    <w:sectPr>
      <w:type w:val="continuous"/>
      <w:pgSz w:w="11910" w:h="16840"/>
      <w:pgMar w:top="1500" w:right="1360" w:bottom="280" w:left="168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3B6FAD"/>
    <w:multiLevelType w:val="singleLevel"/>
    <w:tmpl w:val="DD3B6FAD"/>
    <w:lvl w:ilvl="0" w:tentative="0">
      <w:start w:val="1"/>
      <w:numFmt w:val="decimal"/>
      <w:lvlText w:val="%1."/>
      <w:lvlJc w:val="left"/>
      <w:pPr>
        <w:tabs>
          <w:tab w:val="left" w:pos="312"/>
        </w:tabs>
      </w:pPr>
    </w:lvl>
  </w:abstractNum>
  <w:abstractNum w:abstractNumId="1">
    <w:nsid w:val="058C7C01"/>
    <w:multiLevelType w:val="multilevel"/>
    <w:tmpl w:val="058C7C01"/>
    <w:lvl w:ilvl="0" w:tentative="0">
      <w:start w:val="1"/>
      <w:numFmt w:val="decimal"/>
      <w:lvlText w:val="%1."/>
      <w:lvlJc w:val="left"/>
      <w:pPr>
        <w:ind w:left="109" w:hanging="399"/>
        <w:jc w:val="left"/>
      </w:pPr>
      <w:rPr>
        <w:rFonts w:hint="default" w:ascii="Times New Roman" w:hAnsi="Times New Roman" w:eastAsia="Times New Roman" w:cs="Times New Roman"/>
        <w:w w:val="99"/>
        <w:sz w:val="32"/>
        <w:szCs w:val="32"/>
        <w:lang w:val="zh-CN" w:eastAsia="zh-CN" w:bidi="zh-CN"/>
      </w:rPr>
    </w:lvl>
    <w:lvl w:ilvl="1" w:tentative="0">
      <w:start w:val="2"/>
      <w:numFmt w:val="decimal"/>
      <w:lvlText w:val="%2."/>
      <w:lvlJc w:val="left"/>
      <w:pPr>
        <w:ind w:left="682" w:hanging="152"/>
        <w:jc w:val="left"/>
      </w:pPr>
      <w:rPr>
        <w:rFonts w:hint="default" w:ascii="Times New Roman" w:hAnsi="Times New Roman" w:eastAsia="Times New Roman" w:cs="Times New Roman"/>
        <w:spacing w:val="0"/>
        <w:w w:val="99"/>
        <w:sz w:val="18"/>
        <w:szCs w:val="18"/>
        <w:lang w:val="zh-CN" w:eastAsia="zh-CN" w:bidi="zh-CN"/>
      </w:rPr>
    </w:lvl>
    <w:lvl w:ilvl="2" w:tentative="0">
      <w:start w:val="1"/>
      <w:numFmt w:val="decimal"/>
      <w:lvlText w:val="%3."/>
      <w:lvlJc w:val="left"/>
      <w:pPr>
        <w:ind w:left="120" w:hanging="481"/>
        <w:jc w:val="left"/>
      </w:pPr>
      <w:rPr>
        <w:rFonts w:hint="default" w:ascii="Times New Roman" w:hAnsi="Times New Roman" w:eastAsia="Times New Roman" w:cs="Times New Roman"/>
        <w:spacing w:val="-87"/>
        <w:w w:val="99"/>
        <w:sz w:val="30"/>
        <w:szCs w:val="30"/>
        <w:lang w:val="zh-CN" w:eastAsia="zh-CN" w:bidi="zh-CN"/>
      </w:rPr>
    </w:lvl>
    <w:lvl w:ilvl="3" w:tentative="0">
      <w:start w:val="0"/>
      <w:numFmt w:val="bullet"/>
      <w:lvlText w:val="•"/>
      <w:lvlJc w:val="left"/>
      <w:pPr>
        <w:ind w:left="780" w:hanging="481"/>
      </w:pPr>
      <w:rPr>
        <w:rFonts w:hint="default"/>
        <w:lang w:val="zh-CN" w:eastAsia="zh-CN" w:bidi="zh-CN"/>
      </w:rPr>
    </w:lvl>
    <w:lvl w:ilvl="4" w:tentative="0">
      <w:start w:val="0"/>
      <w:numFmt w:val="bullet"/>
      <w:lvlText w:val="•"/>
      <w:lvlJc w:val="left"/>
      <w:pPr>
        <w:ind w:left="1935" w:hanging="481"/>
      </w:pPr>
      <w:rPr>
        <w:rFonts w:hint="default"/>
        <w:lang w:val="zh-CN" w:eastAsia="zh-CN" w:bidi="zh-CN"/>
      </w:rPr>
    </w:lvl>
    <w:lvl w:ilvl="5" w:tentative="0">
      <w:start w:val="0"/>
      <w:numFmt w:val="bullet"/>
      <w:lvlText w:val="•"/>
      <w:lvlJc w:val="left"/>
      <w:pPr>
        <w:ind w:left="3090" w:hanging="481"/>
      </w:pPr>
      <w:rPr>
        <w:rFonts w:hint="default"/>
        <w:lang w:val="zh-CN" w:eastAsia="zh-CN" w:bidi="zh-CN"/>
      </w:rPr>
    </w:lvl>
    <w:lvl w:ilvl="6" w:tentative="0">
      <w:start w:val="0"/>
      <w:numFmt w:val="bullet"/>
      <w:lvlText w:val="•"/>
      <w:lvlJc w:val="left"/>
      <w:pPr>
        <w:ind w:left="4245" w:hanging="481"/>
      </w:pPr>
      <w:rPr>
        <w:rFonts w:hint="default"/>
        <w:lang w:val="zh-CN" w:eastAsia="zh-CN" w:bidi="zh-CN"/>
      </w:rPr>
    </w:lvl>
    <w:lvl w:ilvl="7" w:tentative="0">
      <w:start w:val="0"/>
      <w:numFmt w:val="bullet"/>
      <w:lvlText w:val="•"/>
      <w:lvlJc w:val="left"/>
      <w:pPr>
        <w:ind w:left="5400" w:hanging="481"/>
      </w:pPr>
      <w:rPr>
        <w:rFonts w:hint="default"/>
        <w:lang w:val="zh-CN" w:eastAsia="zh-CN" w:bidi="zh-CN"/>
      </w:rPr>
    </w:lvl>
    <w:lvl w:ilvl="8" w:tentative="0">
      <w:start w:val="0"/>
      <w:numFmt w:val="bullet"/>
      <w:lvlText w:val="•"/>
      <w:lvlJc w:val="left"/>
      <w:pPr>
        <w:ind w:left="6556" w:hanging="481"/>
      </w:pPr>
      <w:rPr>
        <w:rFonts w:hint="default"/>
        <w:lang w:val="zh-CN" w:eastAsia="zh-CN" w:bidi="zh-CN"/>
      </w:rPr>
    </w:lvl>
  </w:abstractNum>
  <w:abstractNum w:abstractNumId="2">
    <w:nsid w:val="62A47706"/>
    <w:multiLevelType w:val="singleLevel"/>
    <w:tmpl w:val="62A47706"/>
    <w:lvl w:ilvl="0" w:tentative="0">
      <w:start w:val="4"/>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E18"/>
    <w:rsid w:val="00276266"/>
    <w:rsid w:val="004214C6"/>
    <w:rsid w:val="006213BD"/>
    <w:rsid w:val="007D0E7B"/>
    <w:rsid w:val="00A37915"/>
    <w:rsid w:val="00AE61A1"/>
    <w:rsid w:val="00B961EF"/>
    <w:rsid w:val="00C71E18"/>
    <w:rsid w:val="00D839FC"/>
    <w:rsid w:val="00D9730C"/>
    <w:rsid w:val="0159283D"/>
    <w:rsid w:val="02231D4E"/>
    <w:rsid w:val="022F54D1"/>
    <w:rsid w:val="02EC331A"/>
    <w:rsid w:val="031F5EC1"/>
    <w:rsid w:val="059D4893"/>
    <w:rsid w:val="05B06071"/>
    <w:rsid w:val="0C656F8E"/>
    <w:rsid w:val="0C8A625A"/>
    <w:rsid w:val="10072B52"/>
    <w:rsid w:val="11585320"/>
    <w:rsid w:val="122169A1"/>
    <w:rsid w:val="1476257F"/>
    <w:rsid w:val="14D84E8F"/>
    <w:rsid w:val="153A3B03"/>
    <w:rsid w:val="161F6961"/>
    <w:rsid w:val="19513C44"/>
    <w:rsid w:val="1B105378"/>
    <w:rsid w:val="1B3D2909"/>
    <w:rsid w:val="1C207265"/>
    <w:rsid w:val="1EFE7659"/>
    <w:rsid w:val="1F820F0D"/>
    <w:rsid w:val="1FD26583"/>
    <w:rsid w:val="2179761F"/>
    <w:rsid w:val="243F6964"/>
    <w:rsid w:val="24695742"/>
    <w:rsid w:val="24FC544B"/>
    <w:rsid w:val="26040AA8"/>
    <w:rsid w:val="26B858EB"/>
    <w:rsid w:val="29DE54CE"/>
    <w:rsid w:val="2ABE736A"/>
    <w:rsid w:val="2C1675F8"/>
    <w:rsid w:val="2D9F500A"/>
    <w:rsid w:val="2F3C59BE"/>
    <w:rsid w:val="2F532F9B"/>
    <w:rsid w:val="2FFB057D"/>
    <w:rsid w:val="328B03CE"/>
    <w:rsid w:val="32B57D1D"/>
    <w:rsid w:val="344F46D1"/>
    <w:rsid w:val="377753A1"/>
    <w:rsid w:val="38961675"/>
    <w:rsid w:val="3A801055"/>
    <w:rsid w:val="3A9909BF"/>
    <w:rsid w:val="3EF933CA"/>
    <w:rsid w:val="3FA65F60"/>
    <w:rsid w:val="41591D75"/>
    <w:rsid w:val="41F57849"/>
    <w:rsid w:val="42A06612"/>
    <w:rsid w:val="42C5373C"/>
    <w:rsid w:val="432B48C7"/>
    <w:rsid w:val="43904536"/>
    <w:rsid w:val="445C62FF"/>
    <w:rsid w:val="44D73A30"/>
    <w:rsid w:val="460864A7"/>
    <w:rsid w:val="470E0A07"/>
    <w:rsid w:val="477452AF"/>
    <w:rsid w:val="47B63351"/>
    <w:rsid w:val="489A5C43"/>
    <w:rsid w:val="4AB95DE2"/>
    <w:rsid w:val="4ABF6452"/>
    <w:rsid w:val="4B7C008C"/>
    <w:rsid w:val="4BFC40B2"/>
    <w:rsid w:val="4C180617"/>
    <w:rsid w:val="4C2B7700"/>
    <w:rsid w:val="4CC04EBF"/>
    <w:rsid w:val="4E0220D0"/>
    <w:rsid w:val="4F8E1DBD"/>
    <w:rsid w:val="4FEB4AA2"/>
    <w:rsid w:val="5053180F"/>
    <w:rsid w:val="52FE66AF"/>
    <w:rsid w:val="541F7D56"/>
    <w:rsid w:val="5654557B"/>
    <w:rsid w:val="57591DC2"/>
    <w:rsid w:val="599333C9"/>
    <w:rsid w:val="5A41754E"/>
    <w:rsid w:val="5B1D0023"/>
    <w:rsid w:val="5B5054FC"/>
    <w:rsid w:val="5BA3427D"/>
    <w:rsid w:val="5BF20D07"/>
    <w:rsid w:val="5DC86370"/>
    <w:rsid w:val="602277DB"/>
    <w:rsid w:val="609532DC"/>
    <w:rsid w:val="61443644"/>
    <w:rsid w:val="616908E5"/>
    <w:rsid w:val="62AC15C9"/>
    <w:rsid w:val="62F7589B"/>
    <w:rsid w:val="64003BCB"/>
    <w:rsid w:val="649A3E5C"/>
    <w:rsid w:val="66AD7657"/>
    <w:rsid w:val="676E3AE0"/>
    <w:rsid w:val="67C063A4"/>
    <w:rsid w:val="684061FE"/>
    <w:rsid w:val="69D13460"/>
    <w:rsid w:val="6A7B3B73"/>
    <w:rsid w:val="6AFA72A0"/>
    <w:rsid w:val="6B8C01AA"/>
    <w:rsid w:val="6BAB6B9F"/>
    <w:rsid w:val="6BD716B1"/>
    <w:rsid w:val="6BFB4043"/>
    <w:rsid w:val="6D277840"/>
    <w:rsid w:val="6E8D5B5C"/>
    <w:rsid w:val="6EB7525C"/>
    <w:rsid w:val="6EF708F8"/>
    <w:rsid w:val="6F055037"/>
    <w:rsid w:val="6F8F668C"/>
    <w:rsid w:val="6FCD217F"/>
    <w:rsid w:val="7014292D"/>
    <w:rsid w:val="71042A76"/>
    <w:rsid w:val="710C5452"/>
    <w:rsid w:val="742B1403"/>
    <w:rsid w:val="74B51780"/>
    <w:rsid w:val="74B9106A"/>
    <w:rsid w:val="74F07463"/>
    <w:rsid w:val="7522111D"/>
    <w:rsid w:val="76831C63"/>
    <w:rsid w:val="78DD74F6"/>
    <w:rsid w:val="790E640C"/>
    <w:rsid w:val="7EC11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qFormat/>
    <w:uiPriority w:val="1"/>
    <w:rPr>
      <w:sz w:val="32"/>
      <w:szCs w:val="32"/>
    </w:rPr>
  </w:style>
  <w:style w:type="paragraph" w:styleId="3">
    <w:name w:val="Balloon Text"/>
    <w:basedOn w:val="1"/>
    <w:link w:val="19"/>
    <w:semiHidden/>
    <w:unhideWhenUsed/>
    <w:qFormat/>
    <w:uiPriority w:val="99"/>
    <w:pPr>
      <w:autoSpaceDE/>
      <w:autoSpaceDN/>
      <w:jc w:val="both"/>
    </w:pPr>
    <w:rPr>
      <w:rFonts w:ascii="Times New Roman" w:hAnsi="Times New Roman" w:cs="Times New Roman"/>
      <w:kern w:val="2"/>
      <w:sz w:val="18"/>
      <w:szCs w:val="18"/>
      <w:lang w:val="en-US" w:bidi="ar-SA"/>
    </w:rPr>
  </w:style>
  <w:style w:type="paragraph" w:styleId="4">
    <w:name w:val="footer"/>
    <w:basedOn w:val="1"/>
    <w:link w:val="18"/>
    <w:semiHidden/>
    <w:unhideWhenUsed/>
    <w:qFormat/>
    <w:uiPriority w:val="99"/>
    <w:pPr>
      <w:tabs>
        <w:tab w:val="center" w:pos="4153"/>
        <w:tab w:val="right" w:pos="8306"/>
      </w:tabs>
      <w:snapToGrid w:val="0"/>
    </w:pPr>
    <w:rPr>
      <w:sz w:val="18"/>
      <w:szCs w:val="18"/>
    </w:rPr>
  </w:style>
  <w:style w:type="paragraph" w:styleId="5">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customStyle="1" w:styleId="9">
    <w:name w:val="Heading 1"/>
    <w:basedOn w:val="1"/>
    <w:qFormat/>
    <w:uiPriority w:val="1"/>
    <w:pPr>
      <w:spacing w:before="44"/>
      <w:outlineLvl w:val="1"/>
    </w:pPr>
    <w:rPr>
      <w:sz w:val="52"/>
      <w:szCs w:val="52"/>
    </w:rPr>
  </w:style>
  <w:style w:type="paragraph" w:customStyle="1" w:styleId="10">
    <w:name w:val="Heading 2"/>
    <w:basedOn w:val="1"/>
    <w:qFormat/>
    <w:uiPriority w:val="1"/>
    <w:pPr>
      <w:spacing w:before="39"/>
      <w:ind w:right="13"/>
      <w:jc w:val="center"/>
      <w:outlineLvl w:val="2"/>
    </w:pPr>
    <w:rPr>
      <w:sz w:val="44"/>
      <w:szCs w:val="44"/>
    </w:rPr>
  </w:style>
  <w:style w:type="paragraph" w:customStyle="1" w:styleId="11">
    <w:name w:val="Heading 3"/>
    <w:basedOn w:val="1"/>
    <w:qFormat/>
    <w:uiPriority w:val="1"/>
    <w:pPr>
      <w:ind w:left="1"/>
      <w:jc w:val="center"/>
      <w:outlineLvl w:val="3"/>
    </w:pPr>
    <w:rPr>
      <w:sz w:val="40"/>
      <w:szCs w:val="40"/>
    </w:rPr>
  </w:style>
  <w:style w:type="paragraph" w:customStyle="1" w:styleId="12">
    <w:name w:val="Heading 4"/>
    <w:basedOn w:val="1"/>
    <w:qFormat/>
    <w:uiPriority w:val="1"/>
    <w:pPr>
      <w:jc w:val="center"/>
      <w:outlineLvl w:val="4"/>
    </w:pPr>
    <w:rPr>
      <w:sz w:val="36"/>
      <w:szCs w:val="36"/>
    </w:rPr>
  </w:style>
  <w:style w:type="paragraph" w:customStyle="1" w:styleId="13">
    <w:name w:val="Heading 5"/>
    <w:basedOn w:val="1"/>
    <w:qFormat/>
    <w:uiPriority w:val="1"/>
    <w:pPr>
      <w:ind w:left="109"/>
      <w:outlineLvl w:val="5"/>
    </w:pPr>
    <w:rPr>
      <w:sz w:val="33"/>
      <w:szCs w:val="33"/>
    </w:rPr>
  </w:style>
  <w:style w:type="paragraph" w:customStyle="1" w:styleId="14">
    <w:name w:val="Heading 6"/>
    <w:basedOn w:val="1"/>
    <w:qFormat/>
    <w:uiPriority w:val="1"/>
    <w:pPr>
      <w:ind w:left="763" w:hanging="481"/>
      <w:outlineLvl w:val="6"/>
    </w:pPr>
    <w:rPr>
      <w:rFonts w:ascii="Microsoft JhengHei" w:hAnsi="Microsoft JhengHei" w:eastAsia="Microsoft JhengHei" w:cs="Microsoft JhengHei"/>
      <w:b/>
      <w:bCs/>
      <w:sz w:val="32"/>
      <w:szCs w:val="32"/>
    </w:rPr>
  </w:style>
  <w:style w:type="paragraph" w:styleId="15">
    <w:name w:val="List Paragraph"/>
    <w:basedOn w:val="1"/>
    <w:qFormat/>
    <w:uiPriority w:val="1"/>
    <w:pPr>
      <w:ind w:left="109"/>
    </w:pPr>
  </w:style>
  <w:style w:type="paragraph" w:customStyle="1" w:styleId="16">
    <w:name w:val="Table Paragraph"/>
    <w:basedOn w:val="1"/>
    <w:qFormat/>
    <w:uiPriority w:val="1"/>
    <w:pPr>
      <w:spacing w:before="25"/>
    </w:pPr>
  </w:style>
  <w:style w:type="character" w:customStyle="1" w:styleId="17">
    <w:name w:val="页眉 Char"/>
    <w:basedOn w:val="7"/>
    <w:link w:val="5"/>
    <w:semiHidden/>
    <w:qFormat/>
    <w:uiPriority w:val="99"/>
    <w:rPr>
      <w:rFonts w:ascii="宋体" w:hAnsi="宋体" w:eastAsia="宋体" w:cs="宋体"/>
      <w:sz w:val="18"/>
      <w:szCs w:val="18"/>
      <w:lang w:val="zh-CN" w:eastAsia="zh-CN" w:bidi="zh-CN"/>
    </w:rPr>
  </w:style>
  <w:style w:type="character" w:customStyle="1" w:styleId="18">
    <w:name w:val="页脚 Char"/>
    <w:basedOn w:val="7"/>
    <w:link w:val="4"/>
    <w:semiHidden/>
    <w:qFormat/>
    <w:uiPriority w:val="99"/>
    <w:rPr>
      <w:rFonts w:ascii="宋体" w:hAnsi="宋体" w:eastAsia="宋体" w:cs="宋体"/>
      <w:sz w:val="18"/>
      <w:szCs w:val="18"/>
      <w:lang w:val="zh-CN" w:eastAsia="zh-CN" w:bidi="zh-CN"/>
    </w:rPr>
  </w:style>
  <w:style w:type="character" w:customStyle="1" w:styleId="19">
    <w:name w:val="批注框文本 Char"/>
    <w:basedOn w:val="7"/>
    <w:link w:val="3"/>
    <w:semiHidden/>
    <w:qFormat/>
    <w:uiPriority w:val="99"/>
    <w:rPr>
      <w:rFonts w:ascii="Times New Roman" w:hAnsi="Times New Roman" w:eastAsia="宋体" w:cs="Times New Roman"/>
      <w:kern w:val="2"/>
      <w:sz w:val="18"/>
      <w:szCs w:val="18"/>
      <w:lang w:eastAsia="zh-CN"/>
    </w:rPr>
  </w:style>
  <w:style w:type="character" w:customStyle="1" w:styleId="20">
    <w:name w:val="正文文本 Char"/>
    <w:link w:val="2"/>
    <w:qFormat/>
    <w:uiPriority w:val="1"/>
    <w:rPr>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20114;&#32852;&#32593;\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20114;&#32852;&#32593;\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178417266187"/>
          <c:y val="0.189998336383297"/>
          <c:w val="0.540028776978417"/>
          <c:h val="0.749266345034104"/>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layout>
                <c:manualLayout>
                  <c:x val="0.314303471543994"/>
                  <c:y val="-0.0498211548288196"/>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231043203656095"/>
                  <c:y val="0.033371818325341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上级补助收入, 0%</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0224928604644651"/>
                  <c:y val="-0.0130346055138954"/>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213986140423318"/>
                  <c:y val="-0.014063217437163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315250487335783"/>
                  <c:y val="0.14410149588163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附属单位上缴收入,0%</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5"/>
              <c:layout>
                <c:manualLayout>
                  <c:x val="-0.391964420696695"/>
                  <c:y val="0.037433745311368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其他收入, 0%</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spPr>
              <a:solidFill>
                <a:schemeClr val="bg2"/>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工作表.xlsx]Sheet1'!$A$2:$A$7</c:f>
              <c:strCache>
                <c:ptCount val="6"/>
                <c:pt idx="0">
                  <c:v>财政拨款收入</c:v>
                </c:pt>
                <c:pt idx="1">
                  <c:v>上级补助收入</c:v>
                </c:pt>
                <c:pt idx="2">
                  <c:v>事业收入</c:v>
                </c:pt>
                <c:pt idx="3">
                  <c:v>经营收入</c:v>
                </c:pt>
                <c:pt idx="4">
                  <c:v>附属单位上缴收入</c:v>
                </c:pt>
                <c:pt idx="5">
                  <c:v>其他收入</c:v>
                </c:pt>
              </c:strCache>
            </c:strRef>
          </c:cat>
          <c:val>
            <c:numRef>
              <c:f>'[新建 XLSX 工作表.xlsx]Sheet1'!$B$2:$B$7</c:f>
              <c:numCache>
                <c:formatCode>General</c:formatCode>
                <c:ptCount val="6"/>
                <c:pt idx="0">
                  <c:v>4713.8</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0232558139534884"/>
                  <c:y val="-0.0135206077896977"/>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239713774597496"/>
                  <c:y val="0.0284900284900285"/>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199035162321476"/>
                  <c:y val="0.0277201179992235"/>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工作表.xlsx]Sheet1'!$A$10:$A$13</c:f>
              <c:strCache>
                <c:ptCount val="4"/>
                <c:pt idx="0">
                  <c:v>基本支出</c:v>
                </c:pt>
                <c:pt idx="1">
                  <c:v>项目支出</c:v>
                </c:pt>
                <c:pt idx="2">
                  <c:v>经营支出</c:v>
                </c:pt>
                <c:pt idx="3">
                  <c:v>对附属单位补助支出</c:v>
                </c:pt>
              </c:strCache>
            </c:strRef>
          </c:cat>
          <c:val>
            <c:numRef>
              <c:f>'[新建 XLSX 工作表.xlsx]Sheet1'!$B$10:$B$13</c:f>
              <c:numCache>
                <c:formatCode>General</c:formatCode>
                <c:ptCount val="4"/>
                <c:pt idx="0">
                  <c:v>4530.02</c:v>
                </c:pt>
                <c:pt idx="1">
                  <c:v>0</c:v>
                </c:pt>
                <c:pt idx="2">
                  <c:v>0</c:v>
                </c:pt>
                <c:pt idx="3">
                  <c:v>0</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18121</Words>
  <Characters>24124</Characters>
  <Lines>124</Lines>
  <Paragraphs>35</Paragraphs>
  <TotalTime>6</TotalTime>
  <ScaleCrop>false</ScaleCrop>
  <LinksUpToDate>false</LinksUpToDate>
  <CharactersWithSpaces>26019</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2021-07-05T09:51:00Z</dcterms:created>
  <dc:creator>陈长军(本处室套红)</dc:creator>
  <cp:lastModifiedBy>互联网</cp:lastModifiedBy>
  <dcterms:modified xsi:type="dcterms:W3CDTF">2021-09-29T03:05:32Z</dcterms:modified>
  <dc:title>苏政办发</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ÿþ¹eckýVEŒ⁄ech Y thV </vt:lpwstr>
  </property>
  <property fmtid="{D5CDD505-2E9C-101B-9397-08002B2CF9AE}" pid="4" name="LastSaved">
    <vt:filetime>2021-07-05T00:00:00Z</vt:filetime>
  </property>
  <property fmtid="{D5CDD505-2E9C-101B-9397-08002B2CF9AE}" pid="5" name="KSOProductBuildVer">
    <vt:lpwstr>2052-11.1.0.9192</vt:lpwstr>
  </property>
  <property fmtid="{D5CDD505-2E9C-101B-9397-08002B2CF9AE}" pid="6" name="ICV">
    <vt:lpwstr>886010AFE57044E2B0BD3D10474EEB28</vt:lpwstr>
  </property>
</Properties>
</file>