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364" w:type="dxa"/>
        <w:tblInd w:w="1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Layout w:type="autofit"/>
        <w:tblCellMar>
          <w:top w:w="0" w:type="dxa"/>
          <w:left w:w="0" w:type="dxa"/>
          <w:bottom w:w="0" w:type="dxa"/>
          <w:right w:w="0" w:type="dxa"/>
        </w:tblCellMar>
      </w:tblPr>
      <w:tblGrid>
        <w:gridCol w:w="567"/>
        <w:gridCol w:w="1134"/>
        <w:gridCol w:w="993"/>
        <w:gridCol w:w="1134"/>
        <w:gridCol w:w="4536"/>
      </w:tblGrid>
      <w:tr w14:paraId="179EC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6" w:hRule="atLeast"/>
        </w:trPr>
        <w:tc>
          <w:tcPr>
            <w:tcW w:w="8364" w:type="dxa"/>
            <w:gridSpan w:val="5"/>
            <w:shd w:val="clear" w:color="auto" w:fill="FFFFFF"/>
            <w:tcMar>
              <w:top w:w="0" w:type="dxa"/>
              <w:left w:w="108" w:type="dxa"/>
              <w:bottom w:w="0" w:type="dxa"/>
              <w:right w:w="108" w:type="dxa"/>
            </w:tcMar>
            <w:vAlign w:val="center"/>
          </w:tcPr>
          <w:p w14:paraId="0BF7C6CF">
            <w:pPr>
              <w:widowControl/>
              <w:spacing w:line="260" w:lineRule="exact"/>
              <w:jc w:val="center"/>
              <w:rPr>
                <w:rFonts w:ascii="仿宋_GB2312" w:hAnsi="宋体" w:eastAsia="仿宋_GB2312" w:cs="宋体"/>
                <w:color w:val="auto"/>
                <w:kern w:val="0"/>
                <w:szCs w:val="21"/>
              </w:rPr>
            </w:pPr>
            <w:bookmarkStart w:id="0" w:name="OLE_LINK1"/>
            <w:r>
              <w:rPr>
                <w:rFonts w:hint="eastAsia" w:ascii="仿宋_GB2312" w:hAnsi="宋体" w:eastAsia="仿宋_GB2312" w:cs="宋体"/>
                <w:b/>
                <w:bCs/>
                <w:color w:val="auto"/>
                <w:kern w:val="0"/>
                <w:szCs w:val="21"/>
              </w:rPr>
              <w:t>海州区人民检察院简介</w:t>
            </w:r>
          </w:p>
          <w:p w14:paraId="67B27EE2">
            <w:pPr>
              <w:widowControl/>
              <w:spacing w:line="260" w:lineRule="exact"/>
              <w:ind w:firstLine="360"/>
              <w:jc w:val="left"/>
              <w:rPr>
                <w:rFonts w:hint="default" w:ascii="仿宋_GB2312" w:hAnsi="宋体" w:eastAsia="仿宋_GB2312" w:cs="宋体"/>
                <w:color w:val="auto"/>
                <w:kern w:val="0"/>
                <w:szCs w:val="21"/>
                <w:lang w:val="en-US"/>
              </w:rPr>
            </w:pPr>
            <w:r>
              <w:rPr>
                <w:rFonts w:hint="eastAsia" w:ascii="仿宋_GB2312" w:hAnsi="宋体" w:eastAsia="仿宋_GB2312" w:cs="宋体"/>
                <w:color w:val="auto"/>
                <w:kern w:val="0"/>
                <w:szCs w:val="21"/>
              </w:rPr>
              <w:t>根据省院、市院统一部署，经市委机构编制委员会办公室批复，连云港市海州区人民检察院共设置办公室、第一至第六检察部、政治部等8个内设机构</w:t>
            </w:r>
            <w:r>
              <w:rPr>
                <w:rFonts w:hint="eastAsia" w:ascii="仿宋_GB2312" w:hAnsi="宋体" w:eastAsia="仿宋_GB2312" w:cs="宋体"/>
                <w:color w:val="auto"/>
                <w:kern w:val="0"/>
                <w:szCs w:val="21"/>
                <w:lang w:eastAsia="zh-CN"/>
              </w:rPr>
              <w:t>，</w:t>
            </w:r>
            <w:r>
              <w:rPr>
                <w:rFonts w:hint="eastAsia" w:ascii="仿宋_GB2312" w:hAnsi="宋体" w:eastAsia="仿宋_GB2312" w:cs="宋体"/>
                <w:color w:val="auto"/>
                <w:kern w:val="0"/>
                <w:szCs w:val="21"/>
                <w:lang w:val="en-US" w:eastAsia="zh-CN"/>
              </w:rPr>
              <w:t>未包含派出机构设置、职责和编制事项。</w:t>
            </w:r>
          </w:p>
        </w:tc>
      </w:tr>
      <w:tr w14:paraId="51840C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c>
          <w:tcPr>
            <w:tcW w:w="567" w:type="dxa"/>
            <w:shd w:val="clear" w:color="auto" w:fill="FFFFFF"/>
            <w:tcMar>
              <w:top w:w="0" w:type="dxa"/>
              <w:left w:w="108" w:type="dxa"/>
              <w:bottom w:w="0" w:type="dxa"/>
              <w:right w:w="108" w:type="dxa"/>
            </w:tcMar>
            <w:vAlign w:val="center"/>
          </w:tcPr>
          <w:p w14:paraId="45EC6051">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序号</w:t>
            </w:r>
          </w:p>
        </w:tc>
        <w:tc>
          <w:tcPr>
            <w:tcW w:w="1134" w:type="dxa"/>
            <w:shd w:val="clear" w:color="auto" w:fill="FFFFFF"/>
            <w:tcMar>
              <w:top w:w="0" w:type="dxa"/>
              <w:left w:w="108" w:type="dxa"/>
              <w:bottom w:w="0" w:type="dxa"/>
              <w:right w:w="108" w:type="dxa"/>
            </w:tcMar>
            <w:vAlign w:val="center"/>
          </w:tcPr>
          <w:p w14:paraId="216B6FDA">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内设机构</w:t>
            </w:r>
          </w:p>
        </w:tc>
        <w:tc>
          <w:tcPr>
            <w:tcW w:w="993" w:type="dxa"/>
            <w:shd w:val="clear" w:color="auto" w:fill="FFFFFF"/>
            <w:tcMar>
              <w:top w:w="0" w:type="dxa"/>
              <w:left w:w="108" w:type="dxa"/>
              <w:bottom w:w="0" w:type="dxa"/>
              <w:right w:w="108" w:type="dxa"/>
            </w:tcMar>
            <w:vAlign w:val="center"/>
          </w:tcPr>
          <w:p w14:paraId="73635EFB">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w:t>
            </w:r>
          </w:p>
          <w:p w14:paraId="3EC62F94">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负责人</w:t>
            </w:r>
          </w:p>
        </w:tc>
        <w:tc>
          <w:tcPr>
            <w:tcW w:w="1134" w:type="dxa"/>
            <w:shd w:val="clear" w:color="auto" w:fill="FFFFFF"/>
            <w:tcMar>
              <w:top w:w="0" w:type="dxa"/>
              <w:left w:w="108" w:type="dxa"/>
              <w:bottom w:w="0" w:type="dxa"/>
              <w:right w:w="108" w:type="dxa"/>
            </w:tcMar>
            <w:vAlign w:val="center"/>
          </w:tcPr>
          <w:p w14:paraId="42EB6BC3">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人员</w:t>
            </w:r>
          </w:p>
        </w:tc>
        <w:tc>
          <w:tcPr>
            <w:tcW w:w="4536" w:type="dxa"/>
            <w:shd w:val="clear" w:color="auto" w:fill="FFFFFF"/>
            <w:tcMar>
              <w:top w:w="0" w:type="dxa"/>
              <w:left w:w="108" w:type="dxa"/>
              <w:bottom w:w="0" w:type="dxa"/>
              <w:right w:w="108" w:type="dxa"/>
            </w:tcMar>
            <w:vAlign w:val="center"/>
          </w:tcPr>
          <w:p w14:paraId="0FA9D147">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部门职责</w:t>
            </w:r>
          </w:p>
        </w:tc>
      </w:tr>
      <w:tr w14:paraId="78172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772" w:hRule="atLeast"/>
        </w:trPr>
        <w:tc>
          <w:tcPr>
            <w:tcW w:w="567" w:type="dxa"/>
            <w:shd w:val="clear" w:color="auto" w:fill="FFFFFF"/>
            <w:tcMar>
              <w:top w:w="0" w:type="dxa"/>
              <w:left w:w="108" w:type="dxa"/>
              <w:bottom w:w="0" w:type="dxa"/>
              <w:right w:w="108" w:type="dxa"/>
            </w:tcMar>
            <w:vAlign w:val="center"/>
          </w:tcPr>
          <w:p w14:paraId="682AAEF9">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1</w:t>
            </w:r>
          </w:p>
        </w:tc>
        <w:tc>
          <w:tcPr>
            <w:tcW w:w="1134" w:type="dxa"/>
            <w:shd w:val="clear" w:color="auto" w:fill="FFFFFF"/>
            <w:tcMar>
              <w:top w:w="0" w:type="dxa"/>
              <w:left w:w="108" w:type="dxa"/>
              <w:bottom w:w="0" w:type="dxa"/>
              <w:right w:w="108" w:type="dxa"/>
            </w:tcMar>
            <w:vAlign w:val="center"/>
          </w:tcPr>
          <w:p w14:paraId="3400E1D2">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办公室</w:t>
            </w:r>
          </w:p>
        </w:tc>
        <w:tc>
          <w:tcPr>
            <w:tcW w:w="993" w:type="dxa"/>
            <w:shd w:val="clear" w:color="auto" w:fill="FFFFFF"/>
            <w:tcMar>
              <w:top w:w="0" w:type="dxa"/>
              <w:left w:w="108" w:type="dxa"/>
              <w:bottom w:w="0" w:type="dxa"/>
              <w:right w:w="108" w:type="dxa"/>
            </w:tcMar>
            <w:vAlign w:val="center"/>
          </w:tcPr>
          <w:p w14:paraId="665F4E7F">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赵静</w:t>
            </w:r>
          </w:p>
        </w:tc>
        <w:tc>
          <w:tcPr>
            <w:tcW w:w="1134" w:type="dxa"/>
            <w:shd w:val="clear" w:color="auto" w:fill="FFFFFF"/>
            <w:tcMar>
              <w:top w:w="0" w:type="dxa"/>
              <w:left w:w="108" w:type="dxa"/>
              <w:bottom w:w="0" w:type="dxa"/>
              <w:right w:w="108" w:type="dxa"/>
            </w:tcMar>
            <w:vAlign w:val="center"/>
          </w:tcPr>
          <w:p w14:paraId="6EF08C46">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于建荣</w:t>
            </w:r>
          </w:p>
          <w:p w14:paraId="0C459058">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范  忠</w:t>
            </w:r>
          </w:p>
          <w:p w14:paraId="45C12F55">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宗  申</w:t>
            </w:r>
          </w:p>
          <w:p w14:paraId="6C83D553">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  淇</w:t>
            </w:r>
          </w:p>
          <w:p w14:paraId="067F6165">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陈虹竹</w:t>
            </w:r>
          </w:p>
          <w:p w14:paraId="21E28BAC">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舒  洁</w:t>
            </w:r>
          </w:p>
          <w:p w14:paraId="6F1E0974">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江舜亮</w:t>
            </w:r>
          </w:p>
          <w:p w14:paraId="2122B9CA">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李云宁</w:t>
            </w:r>
          </w:p>
        </w:tc>
        <w:tc>
          <w:tcPr>
            <w:tcW w:w="4536" w:type="dxa"/>
            <w:shd w:val="clear" w:color="auto" w:fill="FFFFFF"/>
            <w:tcMar>
              <w:top w:w="0" w:type="dxa"/>
              <w:left w:w="108" w:type="dxa"/>
              <w:bottom w:w="0" w:type="dxa"/>
              <w:right w:w="108" w:type="dxa"/>
            </w:tcMar>
            <w:vAlign w:val="center"/>
          </w:tcPr>
          <w:p w14:paraId="731FC6B7">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xml:space="preserve"> </w:t>
            </w: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xml:space="preserve"> 由机构改革之前的办公室、行装科合并而来，具体职能为：</w:t>
            </w:r>
          </w:p>
          <w:p w14:paraId="5ABE280B">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一、了解掌握全院工作情况，对工作中带有普遍性、倾向性的问题，进行综合分析，为领导决策提供依据。</w:t>
            </w:r>
          </w:p>
          <w:p w14:paraId="447A34D0">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二、负责起草工作计划、意见、总结、专题报告、重大问题的请示及其他文稿，做好公文的审核把关工作。</w:t>
            </w:r>
          </w:p>
          <w:p w14:paraId="4B8D603D">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三、负责转办、交办和催办各级领导批示交办事项，督促检查重要工作部署的贯彻落实。</w:t>
            </w:r>
          </w:p>
          <w:p w14:paraId="54FE213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四、负责落实人民代表、政协委员的提案、建议等办理事项。</w:t>
            </w:r>
          </w:p>
          <w:p w14:paraId="166D54E8">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五、负责本院办文、办事、办会和院领导参加公务活动以及其他方面的组织协调。</w:t>
            </w:r>
          </w:p>
          <w:p w14:paraId="3646D4F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六、负责本院的公文管理、主管公文的收发、印刷和印章管理等事项，指导各部门的内勤工作。</w:t>
            </w:r>
          </w:p>
          <w:p w14:paraId="15228E17">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七、负责院党组会（扩大）、检察长办公会、院务会和全院干警大会等会议的会务工作。</w:t>
            </w:r>
          </w:p>
          <w:p w14:paraId="1F50402D">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八、负责组织协调本院的宣传报道工作，做好统计、档案和保密等工作。</w:t>
            </w:r>
          </w:p>
          <w:p w14:paraId="6035B0F8">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九、完成党组和检察长交办的其他工作。</w:t>
            </w:r>
          </w:p>
          <w:p w14:paraId="5EDCE0E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十、负责本院的财务预算、经费管理工作。</w:t>
            </w:r>
          </w:p>
          <w:p w14:paraId="6F31E150">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十一、负责本院基本建设及各种装备物资的统一购置、分配和管理工作。</w:t>
            </w:r>
          </w:p>
          <w:p w14:paraId="1D778689">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十二、负责本院所有车辆的管理工作，组织实施机关卫生整理工作，落实机关大院的安全保卫工作。</w:t>
            </w:r>
          </w:p>
          <w:p w14:paraId="318CDFA3">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十三、做好公务接待等其他行政管理和后勤保障工作。</w:t>
            </w:r>
          </w:p>
          <w:p w14:paraId="7A2FE5F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十四、负责院党组和院领导交办的其他事项。</w:t>
            </w:r>
          </w:p>
          <w:p w14:paraId="34A23418">
            <w:pPr>
              <w:widowControl/>
              <w:spacing w:line="260" w:lineRule="exact"/>
              <w:ind w:firstLine="36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部门对外联系电话（内勤）：0518-85571180</w:t>
            </w:r>
          </w:p>
        </w:tc>
      </w:tr>
      <w:tr w14:paraId="10778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529" w:hRule="atLeast"/>
        </w:trPr>
        <w:tc>
          <w:tcPr>
            <w:tcW w:w="567" w:type="dxa"/>
            <w:shd w:val="clear" w:color="auto" w:fill="FFFFFF"/>
            <w:tcMar>
              <w:top w:w="0" w:type="dxa"/>
              <w:left w:w="108" w:type="dxa"/>
              <w:bottom w:w="0" w:type="dxa"/>
              <w:right w:w="108" w:type="dxa"/>
            </w:tcMar>
            <w:vAlign w:val="center"/>
          </w:tcPr>
          <w:p w14:paraId="4B9EED02">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2</w:t>
            </w:r>
          </w:p>
        </w:tc>
        <w:tc>
          <w:tcPr>
            <w:tcW w:w="1134" w:type="dxa"/>
            <w:shd w:val="clear" w:color="auto" w:fill="FFFFFF"/>
            <w:tcMar>
              <w:top w:w="0" w:type="dxa"/>
              <w:left w:w="108" w:type="dxa"/>
              <w:bottom w:w="0" w:type="dxa"/>
              <w:right w:w="108" w:type="dxa"/>
            </w:tcMar>
            <w:vAlign w:val="center"/>
          </w:tcPr>
          <w:p w14:paraId="0433D631">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政治部</w:t>
            </w:r>
          </w:p>
        </w:tc>
        <w:tc>
          <w:tcPr>
            <w:tcW w:w="993" w:type="dxa"/>
            <w:shd w:val="clear" w:color="auto" w:fill="FFFFFF"/>
            <w:tcMar>
              <w:top w:w="0" w:type="dxa"/>
              <w:left w:w="108" w:type="dxa"/>
              <w:bottom w:w="0" w:type="dxa"/>
              <w:right w:w="108" w:type="dxa"/>
            </w:tcMar>
            <w:vAlign w:val="center"/>
          </w:tcPr>
          <w:p w14:paraId="38C27231">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倪滨海</w:t>
            </w:r>
          </w:p>
        </w:tc>
        <w:tc>
          <w:tcPr>
            <w:tcW w:w="1134" w:type="dxa"/>
            <w:shd w:val="clear" w:color="auto" w:fill="FFFFFF"/>
            <w:tcMar>
              <w:top w:w="0" w:type="dxa"/>
              <w:left w:w="108" w:type="dxa"/>
              <w:bottom w:w="0" w:type="dxa"/>
              <w:right w:w="108" w:type="dxa"/>
            </w:tcMar>
            <w:vAlign w:val="center"/>
          </w:tcPr>
          <w:p w14:paraId="266E9A0A">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周  莹</w:t>
            </w:r>
          </w:p>
          <w:p w14:paraId="1020FFF2">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孙钰翔</w:t>
            </w:r>
          </w:p>
          <w:p w14:paraId="1A429632">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朱  君</w:t>
            </w:r>
          </w:p>
        </w:tc>
        <w:tc>
          <w:tcPr>
            <w:tcW w:w="4536" w:type="dxa"/>
            <w:shd w:val="clear" w:color="auto" w:fill="FFFFFF"/>
            <w:tcMar>
              <w:top w:w="0" w:type="dxa"/>
              <w:left w:w="108" w:type="dxa"/>
              <w:bottom w:w="0" w:type="dxa"/>
              <w:right w:w="108" w:type="dxa"/>
            </w:tcMar>
            <w:vAlign w:val="center"/>
          </w:tcPr>
          <w:p w14:paraId="7FFE6B08">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xml:space="preserve"> </w:t>
            </w: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一、负责党团组织、工会管理、机关政治理论学习、思想政治教育学习、思想政治教育工作；</w:t>
            </w:r>
          </w:p>
          <w:p w14:paraId="0E65FE11">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二、负责三类人员管理考核、离退休老干部服务，干部人事档案管理工作。</w:t>
            </w:r>
          </w:p>
          <w:p w14:paraId="0C714D7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刑事检察一部</w:t>
            </w:r>
          </w:p>
          <w:p w14:paraId="57E5F6D3">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办理危害国家安全、危害公共安全、侵犯公民人身权利民主权利、侵犯财产、妨害社会管理秩序、危害国防利益等刑事犯罪案件。根据罪名分布情况设置三个办案组，即公共安全案件检察组、侵财犯罪检察组和涉黑及人身伤害检察组。</w:t>
            </w:r>
          </w:p>
          <w:p w14:paraId="427E9FA1">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具体职能包括：</w:t>
            </w:r>
          </w:p>
          <w:p w14:paraId="50C6A541">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审查逮捕、侦查监督、审查起诉、出庭公诉、审判监督等工作。</w:t>
            </w:r>
          </w:p>
          <w:p w14:paraId="005D0496">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两法衔接，平安创建、社会治理等工作。</w:t>
            </w:r>
          </w:p>
          <w:p w14:paraId="21828B5F">
            <w:pPr>
              <w:widowControl/>
              <w:spacing w:line="260" w:lineRule="exact"/>
              <w:ind w:firstLine="360"/>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部门对外联系电话（内勤）：0518-85571537</w:t>
            </w:r>
          </w:p>
        </w:tc>
      </w:tr>
      <w:tr w14:paraId="170FB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5365" w:hRule="atLeast"/>
        </w:trPr>
        <w:tc>
          <w:tcPr>
            <w:tcW w:w="567" w:type="dxa"/>
            <w:shd w:val="clear" w:color="auto" w:fill="FFFFFF"/>
            <w:tcMar>
              <w:top w:w="0" w:type="dxa"/>
              <w:left w:w="108" w:type="dxa"/>
              <w:bottom w:w="0" w:type="dxa"/>
              <w:right w:w="108" w:type="dxa"/>
            </w:tcMar>
            <w:vAlign w:val="center"/>
          </w:tcPr>
          <w:p w14:paraId="5BE72C35">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3</w:t>
            </w:r>
          </w:p>
        </w:tc>
        <w:tc>
          <w:tcPr>
            <w:tcW w:w="1134" w:type="dxa"/>
            <w:shd w:val="clear" w:color="auto" w:fill="FFFFFF"/>
            <w:tcMar>
              <w:top w:w="0" w:type="dxa"/>
              <w:left w:w="108" w:type="dxa"/>
              <w:bottom w:w="0" w:type="dxa"/>
              <w:right w:w="108" w:type="dxa"/>
            </w:tcMar>
            <w:vAlign w:val="center"/>
          </w:tcPr>
          <w:p w14:paraId="3D327842">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第一</w:t>
            </w:r>
          </w:p>
          <w:p w14:paraId="4079F7E8">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检察部</w:t>
            </w:r>
          </w:p>
        </w:tc>
        <w:tc>
          <w:tcPr>
            <w:tcW w:w="993" w:type="dxa"/>
            <w:shd w:val="clear" w:color="auto" w:fill="FFFFFF"/>
            <w:tcMar>
              <w:top w:w="0" w:type="dxa"/>
              <w:left w:w="108" w:type="dxa"/>
              <w:bottom w:w="0" w:type="dxa"/>
              <w:right w:w="108" w:type="dxa"/>
            </w:tcMar>
            <w:vAlign w:val="center"/>
          </w:tcPr>
          <w:p w14:paraId="4E2226AE">
            <w:pPr>
              <w:widowControl/>
              <w:spacing w:line="26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林国祥</w:t>
            </w:r>
          </w:p>
        </w:tc>
        <w:tc>
          <w:tcPr>
            <w:tcW w:w="1134" w:type="dxa"/>
            <w:shd w:val="clear" w:color="auto" w:fill="FFFFFF"/>
            <w:tcMar>
              <w:top w:w="0" w:type="dxa"/>
              <w:left w:w="108" w:type="dxa"/>
              <w:bottom w:w="0" w:type="dxa"/>
              <w:right w:w="108" w:type="dxa"/>
            </w:tcMar>
            <w:vAlign w:val="center"/>
          </w:tcPr>
          <w:p w14:paraId="5392C60E">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戴晓君</w:t>
            </w:r>
          </w:p>
          <w:p w14:paraId="0EE7AE6C">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王婉秋</w:t>
            </w:r>
          </w:p>
          <w:p w14:paraId="1EAC4F56">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田玉琼</w:t>
            </w:r>
          </w:p>
          <w:p w14:paraId="4563B0F4">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梁晶晶</w:t>
            </w:r>
          </w:p>
          <w:p w14:paraId="40B99F88">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李冠美</w:t>
            </w:r>
          </w:p>
          <w:p w14:paraId="2BA73C33">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韩杨阳</w:t>
            </w:r>
          </w:p>
          <w:p w14:paraId="38CAB72E">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王晓冬</w:t>
            </w:r>
          </w:p>
          <w:p w14:paraId="6DB264C3">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张梅娟 王子扬</w:t>
            </w:r>
          </w:p>
          <w:p w14:paraId="4569D775">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吴  迪</w:t>
            </w:r>
          </w:p>
          <w:p w14:paraId="1D5DA321">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王东京</w:t>
            </w:r>
          </w:p>
          <w:p w14:paraId="35849604">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  迪</w:t>
            </w:r>
          </w:p>
          <w:p w14:paraId="28A0B045">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鞠妮蓝</w:t>
            </w:r>
          </w:p>
          <w:p w14:paraId="22F4F43A">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王一铭</w:t>
            </w:r>
          </w:p>
          <w:p w14:paraId="4D4C9755">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刘汉璇</w:t>
            </w:r>
          </w:p>
          <w:p w14:paraId="2654A458">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晁玉伟</w:t>
            </w:r>
          </w:p>
          <w:p w14:paraId="58A30A69">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宋厚君</w:t>
            </w:r>
          </w:p>
          <w:p w14:paraId="50265F76">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张迪生</w:t>
            </w:r>
          </w:p>
          <w:p w14:paraId="110AA613">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桑海燕</w:t>
            </w:r>
          </w:p>
        </w:tc>
        <w:tc>
          <w:tcPr>
            <w:tcW w:w="4536" w:type="dxa"/>
            <w:shd w:val="clear" w:color="auto" w:fill="FFFFFF"/>
            <w:tcMar>
              <w:top w:w="0" w:type="dxa"/>
              <w:left w:w="108" w:type="dxa"/>
              <w:bottom w:w="0" w:type="dxa"/>
              <w:right w:w="108" w:type="dxa"/>
            </w:tcMar>
            <w:vAlign w:val="center"/>
          </w:tcPr>
          <w:p w14:paraId="63BB3D03">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xml:space="preserve"> </w:t>
            </w:r>
            <w:r>
              <w:rPr>
                <w:rFonts w:hint="eastAsia" w:ascii="宋体" w:hAnsi="宋体" w:eastAsia="仿宋_GB2312" w:cs="宋体"/>
                <w:color w:val="auto"/>
                <w:kern w:val="0"/>
                <w:szCs w:val="21"/>
              </w:rPr>
              <w:t xml:space="preserve"> </w:t>
            </w:r>
            <w:r>
              <w:rPr>
                <w:rFonts w:hint="eastAsia" w:ascii="仿宋_GB2312" w:hAnsi="宋体" w:eastAsia="仿宋_GB2312" w:cs="宋体"/>
                <w:color w:val="auto"/>
                <w:kern w:val="0"/>
                <w:szCs w:val="21"/>
              </w:rPr>
              <w:t>办理危害国家安全、危害公共安全、侵犯公民人身权利民主权利、侵犯财产、妨害社会管理秩序、危害国防利益等刑事犯罪案件。根据罪名分布情况设置三个办案组，即公共安全案件检察组、侵财犯罪检察组和涉黑及人身伤害检察组。</w:t>
            </w:r>
          </w:p>
          <w:p w14:paraId="70CC5CE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具体职能包括：</w:t>
            </w:r>
          </w:p>
          <w:p w14:paraId="40CFAE68">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审查逮捕、侦查监督、审查起诉、出庭公诉、审判监督等工作。</w:t>
            </w:r>
          </w:p>
          <w:p w14:paraId="723FCA3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两法衔接，平安创建、社会治理等工作。</w:t>
            </w:r>
          </w:p>
          <w:p w14:paraId="2E40C72B">
            <w:pPr>
              <w:widowControl/>
              <w:spacing w:line="260" w:lineRule="exact"/>
              <w:ind w:firstLine="464" w:firstLineChars="221"/>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部门对外联系电话（内勤）：0518-85571563</w:t>
            </w:r>
          </w:p>
        </w:tc>
      </w:tr>
      <w:tr w14:paraId="230FE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401" w:hRule="atLeast"/>
        </w:trPr>
        <w:tc>
          <w:tcPr>
            <w:tcW w:w="567" w:type="dxa"/>
            <w:shd w:val="clear" w:color="auto" w:fill="FFFFFF"/>
            <w:tcMar>
              <w:top w:w="0" w:type="dxa"/>
              <w:left w:w="108" w:type="dxa"/>
              <w:bottom w:w="0" w:type="dxa"/>
              <w:right w:w="108" w:type="dxa"/>
            </w:tcMar>
            <w:vAlign w:val="center"/>
          </w:tcPr>
          <w:p w14:paraId="2544072E">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4</w:t>
            </w:r>
          </w:p>
        </w:tc>
        <w:tc>
          <w:tcPr>
            <w:tcW w:w="1134" w:type="dxa"/>
            <w:shd w:val="clear" w:color="auto" w:fill="FFFFFF"/>
            <w:tcMar>
              <w:top w:w="0" w:type="dxa"/>
              <w:left w:w="108" w:type="dxa"/>
              <w:bottom w:w="0" w:type="dxa"/>
              <w:right w:w="108" w:type="dxa"/>
            </w:tcMar>
            <w:vAlign w:val="center"/>
          </w:tcPr>
          <w:p w14:paraId="6637A563">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第二</w:t>
            </w:r>
          </w:p>
          <w:p w14:paraId="28F349E2">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检察部</w:t>
            </w:r>
          </w:p>
        </w:tc>
        <w:tc>
          <w:tcPr>
            <w:tcW w:w="993" w:type="dxa"/>
            <w:shd w:val="clear" w:color="auto" w:fill="FFFFFF"/>
            <w:tcMar>
              <w:top w:w="0" w:type="dxa"/>
              <w:left w:w="108" w:type="dxa"/>
              <w:bottom w:w="0" w:type="dxa"/>
              <w:right w:w="108" w:type="dxa"/>
            </w:tcMar>
            <w:vAlign w:val="center"/>
          </w:tcPr>
          <w:p w14:paraId="61214D5A">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付方远</w:t>
            </w:r>
          </w:p>
        </w:tc>
        <w:tc>
          <w:tcPr>
            <w:tcW w:w="1134" w:type="dxa"/>
            <w:shd w:val="clear" w:color="auto" w:fill="FFFFFF"/>
            <w:tcMar>
              <w:top w:w="0" w:type="dxa"/>
              <w:left w:w="108" w:type="dxa"/>
              <w:bottom w:w="0" w:type="dxa"/>
              <w:right w:w="108" w:type="dxa"/>
            </w:tcMar>
            <w:vAlign w:val="center"/>
          </w:tcPr>
          <w:p w14:paraId="24FA9696">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杨金凤</w:t>
            </w:r>
          </w:p>
          <w:p w14:paraId="17B9818D">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焦新艳</w:t>
            </w:r>
          </w:p>
          <w:p w14:paraId="43B9680F">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  帅</w:t>
            </w:r>
          </w:p>
          <w:p w14:paraId="0FFB13A4">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王  芳</w:t>
            </w:r>
          </w:p>
          <w:p w14:paraId="2B5B5720">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陈  彪</w:t>
            </w:r>
          </w:p>
          <w:p w14:paraId="75AF1C43">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庄  岩</w:t>
            </w:r>
          </w:p>
          <w:p w14:paraId="16C82C97">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何文天</w:t>
            </w:r>
          </w:p>
          <w:p w14:paraId="343BEA4C">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徐晓广</w:t>
            </w:r>
          </w:p>
          <w:p w14:paraId="3EABFE51">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李  涛</w:t>
            </w:r>
          </w:p>
          <w:p w14:paraId="0806A488">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王石忠</w:t>
            </w:r>
          </w:p>
          <w:p w14:paraId="69C033AF">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赵化玉</w:t>
            </w:r>
          </w:p>
          <w:p w14:paraId="08928535">
            <w:pPr>
              <w:widowControl/>
              <w:spacing w:line="260" w:lineRule="exact"/>
              <w:jc w:val="center"/>
              <w:rPr>
                <w:rFonts w:hint="default" w:ascii="仿宋_GB2312" w:hAnsi="宋体" w:eastAsia="仿宋_GB2312" w:cs="宋体"/>
                <w:color w:val="auto"/>
                <w:kern w:val="0"/>
                <w:szCs w:val="21"/>
                <w:lang w:val="en-US" w:eastAsia="zh-CN"/>
              </w:rPr>
            </w:pPr>
          </w:p>
        </w:tc>
        <w:tc>
          <w:tcPr>
            <w:tcW w:w="4536" w:type="dxa"/>
            <w:shd w:val="clear" w:color="auto" w:fill="FFFFFF"/>
            <w:tcMar>
              <w:top w:w="0" w:type="dxa"/>
              <w:left w:w="108" w:type="dxa"/>
              <w:bottom w:w="0" w:type="dxa"/>
              <w:right w:w="108" w:type="dxa"/>
            </w:tcMar>
            <w:vAlign w:val="center"/>
          </w:tcPr>
          <w:p w14:paraId="38F30014">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一、开展侦查监督各项工作：</w:t>
            </w:r>
          </w:p>
          <w:p w14:paraId="3F707ABF">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（一）对全区破坏社会主义市场经济秩序犯罪、贪污贿赂犯罪、渎职犯罪犯罪嫌疑人审查逮捕、刑事立案监督和侦查活动监督工作进行指导；</w:t>
            </w:r>
          </w:p>
          <w:p w14:paraId="6F329017">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（二）承办应当由本院办理的审查批捕和决定逮捕的案件；</w:t>
            </w:r>
          </w:p>
          <w:p w14:paraId="46199E1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（三）承办核准追诉案件的审查、报请工作；</w:t>
            </w:r>
          </w:p>
          <w:p w14:paraId="085831C0">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（四）对同级侦查机关（部门）开展刑事立案监督、侦查活动监督工作；</w:t>
            </w:r>
          </w:p>
          <w:p w14:paraId="73421B06">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（五）调查和监督纠正同级侦查机关（部门）侦查阶段非法取证行为；</w:t>
            </w:r>
          </w:p>
          <w:p w14:paraId="4B64DE94">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（六）研究审查批捕业务规范化建设，制定有关规定。</w:t>
            </w:r>
          </w:p>
          <w:p w14:paraId="2FDD5886">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二、开展公诉各项工作：</w:t>
            </w:r>
          </w:p>
          <w:p w14:paraId="7C2455C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（一）对侦查机关（部门）和监察机关移送审查起诉或者不起诉的破坏社会主义市场经济秩序犯罪、贪污贿赂犯罪、渎职犯罪案件，进行审查，提出起诉或者不起诉的意见；</w:t>
            </w:r>
          </w:p>
          <w:p w14:paraId="035B60C5">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（二）对同级侦查机关（部门）的侦查活动是否合法实行监督；</w:t>
            </w:r>
          </w:p>
          <w:p w14:paraId="37566E4B">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（三）出席公诉案件第一、二审和再审案件法庭，代表国家履行公诉职责，并对审判活动是否合法实行监督；</w:t>
            </w:r>
          </w:p>
          <w:p w14:paraId="17518386">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（四）审查人民法院的刑事判决、裁定，对确有错误的判决、裁定，提出抗诉的意见；</w:t>
            </w:r>
          </w:p>
          <w:p w14:paraId="5A9B9B3E">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（五）审查报请核准追诉的案件。</w:t>
            </w:r>
          </w:p>
          <w:p w14:paraId="2C66FAA7">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三、开展刑事执行检察各项工作：</w:t>
            </w:r>
          </w:p>
          <w:p w14:paraId="5EE7CF5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（一）对社区监管活动是否合法实行监督；</w:t>
            </w:r>
          </w:p>
          <w:p w14:paraId="6A03D82D">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（二）对人民法院裁定减刑、假释是否合法实行监督；</w:t>
            </w:r>
          </w:p>
          <w:p w14:paraId="4DA27F13">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（三）对公安机关、人民法院办理的犯罪嫌疑人、被告人被羁押的案件的羁押期限和办案期限实行监督；</w:t>
            </w:r>
          </w:p>
          <w:p w14:paraId="2036CE22">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（四）对监所检察工作中发现的不需要继续羁押的犯罪嫌疑人、被告人提出释放或者变更强制措施的建议；</w:t>
            </w:r>
          </w:p>
          <w:p w14:paraId="5A70264E">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（五）对指定居所监视居住的执行活动是否合法实行监督；</w:t>
            </w:r>
          </w:p>
          <w:p w14:paraId="783A39A3">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（六）对人民法院执行罚金刑、没收财产刑以及执行生效判决、裁定中没收违法所得及其他涉案财产的活动是否合法实行监督；</w:t>
            </w:r>
          </w:p>
          <w:p w14:paraId="4A0FF3C8">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（七）对人民法院、监狱管理机关、公安机关决定或者批准暂予监外执行活动是否合法实行监督；</w:t>
            </w:r>
          </w:p>
          <w:p w14:paraId="663F4591">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（八）对公安机关、社区矫正机构管理监督监外执行罪犯活动是否合法实行监督；</w:t>
            </w:r>
          </w:p>
          <w:p w14:paraId="4DBB22F8">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（九）对强制医疗执行活动是否合法实行监督；</w:t>
            </w:r>
          </w:p>
          <w:p w14:paraId="17C6B602">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（十）对刑罚执行和监管活动中的职务犯罪案件立案侦查，开展职务犯罪预防工作；</w:t>
            </w:r>
          </w:p>
          <w:p w14:paraId="5044D29F">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（十一）对罪犯又犯罪案件审查逮捕、审查起诉，对立案、侦查和审判活动是否合法实行监督。</w:t>
            </w:r>
          </w:p>
          <w:p w14:paraId="1FFC815B">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四、结合办案参与社会治安综合治理。</w:t>
            </w:r>
          </w:p>
          <w:p w14:paraId="2C2FB0F8">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五、完成党组和检察长交办的其他工作。</w:t>
            </w:r>
          </w:p>
          <w:p w14:paraId="037B8DF8">
            <w:pPr>
              <w:widowControl/>
              <w:spacing w:line="260" w:lineRule="exact"/>
              <w:ind w:firstLine="36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部门对外联系电话（内勤）：0518-85571560</w:t>
            </w:r>
          </w:p>
        </w:tc>
      </w:tr>
      <w:tr w14:paraId="4ED7C8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3803" w:hRule="atLeast"/>
        </w:trPr>
        <w:tc>
          <w:tcPr>
            <w:tcW w:w="567" w:type="dxa"/>
            <w:shd w:val="clear" w:color="auto" w:fill="FFFFFF"/>
            <w:tcMar>
              <w:top w:w="0" w:type="dxa"/>
              <w:left w:w="108" w:type="dxa"/>
              <w:bottom w:w="0" w:type="dxa"/>
              <w:right w:w="108" w:type="dxa"/>
            </w:tcMar>
            <w:vAlign w:val="center"/>
          </w:tcPr>
          <w:p w14:paraId="3C37D71C">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5</w:t>
            </w:r>
          </w:p>
        </w:tc>
        <w:tc>
          <w:tcPr>
            <w:tcW w:w="1134" w:type="dxa"/>
            <w:shd w:val="clear" w:color="auto" w:fill="FFFFFF"/>
            <w:tcMar>
              <w:top w:w="0" w:type="dxa"/>
              <w:left w:w="108" w:type="dxa"/>
              <w:bottom w:w="0" w:type="dxa"/>
              <w:right w:w="108" w:type="dxa"/>
            </w:tcMar>
            <w:vAlign w:val="center"/>
          </w:tcPr>
          <w:p w14:paraId="3164830F">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第三</w:t>
            </w:r>
          </w:p>
          <w:p w14:paraId="2E0BBE63">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检察部</w:t>
            </w:r>
          </w:p>
        </w:tc>
        <w:tc>
          <w:tcPr>
            <w:tcW w:w="993" w:type="dxa"/>
            <w:shd w:val="clear" w:color="auto" w:fill="FFFFFF"/>
            <w:tcMar>
              <w:top w:w="0" w:type="dxa"/>
              <w:left w:w="108" w:type="dxa"/>
              <w:bottom w:w="0" w:type="dxa"/>
              <w:right w:w="108" w:type="dxa"/>
            </w:tcMar>
            <w:vAlign w:val="center"/>
          </w:tcPr>
          <w:p w14:paraId="6F5A5C2C">
            <w:pPr>
              <w:widowControl/>
              <w:spacing w:line="260" w:lineRule="exact"/>
              <w:ind w:firstLine="105" w:firstLineChars="50"/>
              <w:jc w:val="left"/>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侯亚茹</w:t>
            </w:r>
          </w:p>
        </w:tc>
        <w:tc>
          <w:tcPr>
            <w:tcW w:w="1134" w:type="dxa"/>
            <w:shd w:val="clear" w:color="auto" w:fill="FFFFFF"/>
            <w:tcMar>
              <w:top w:w="0" w:type="dxa"/>
              <w:left w:w="108" w:type="dxa"/>
              <w:bottom w:w="0" w:type="dxa"/>
              <w:right w:w="108" w:type="dxa"/>
            </w:tcMar>
            <w:vAlign w:val="center"/>
          </w:tcPr>
          <w:p w14:paraId="5D18185A">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李艳云</w:t>
            </w:r>
          </w:p>
          <w:p w14:paraId="1B63CE3E">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戴冰莹</w:t>
            </w:r>
          </w:p>
          <w:p w14:paraId="6AAFF1B5">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杨振城</w:t>
            </w:r>
          </w:p>
          <w:p w14:paraId="5C206F6D">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曹  燕</w:t>
            </w:r>
          </w:p>
          <w:p w14:paraId="4FCBE27A">
            <w:pPr>
              <w:widowControl/>
              <w:spacing w:line="260" w:lineRule="exact"/>
              <w:jc w:val="center"/>
              <w:rPr>
                <w:rFonts w:hint="default" w:ascii="仿宋_GB2312" w:hAnsi="宋体" w:eastAsia="仿宋_GB2312" w:cs="宋体"/>
                <w:color w:val="auto"/>
                <w:kern w:val="0"/>
                <w:szCs w:val="21"/>
                <w:lang w:val="en-US" w:eastAsia="zh-CN"/>
              </w:rPr>
            </w:pPr>
          </w:p>
        </w:tc>
        <w:tc>
          <w:tcPr>
            <w:tcW w:w="4536" w:type="dxa"/>
            <w:shd w:val="clear" w:color="auto" w:fill="FFFFFF"/>
            <w:tcMar>
              <w:top w:w="0" w:type="dxa"/>
              <w:left w:w="108" w:type="dxa"/>
              <w:bottom w:w="0" w:type="dxa"/>
              <w:right w:w="108" w:type="dxa"/>
            </w:tcMar>
            <w:vAlign w:val="center"/>
          </w:tcPr>
          <w:p w14:paraId="058601D6">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职能简介：未成年刑事检察工作“捕、诉、监、防”一体，未成年人刑事案件侦查监督；未成年人刑事案件审查起诉；未成年人刑事案件执行检察；未成人民事、行政检察业务；未成年人法律援助、社会调查、法定代理人到场、亲情会见、心理测评与心理疏导、被害人救助等特殊检察制度工作；未成年人法制教育、法律服务、异地协助，矫治帮扶，青少年维权等工作。</w:t>
            </w:r>
          </w:p>
          <w:p w14:paraId="23303EAB">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职能:</w:t>
            </w:r>
          </w:p>
          <w:p w14:paraId="06A980D9">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一、办理四类未成年人刑事案件，履行审查逮捕、审查起诉、法律监督、犯罪预防职能；</w:t>
            </w:r>
          </w:p>
          <w:p w14:paraId="65993855">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（1）实施犯罪行为时不满18周岁的未成年人的刑事案件；</w:t>
            </w:r>
          </w:p>
          <w:p w14:paraId="2DD7D5C5">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（2）成年人侵害未成年人的刑事案件；</w:t>
            </w:r>
          </w:p>
          <w:p w14:paraId="135EB6DF">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（3）未成年人和成年人共同犯罪案件；</w:t>
            </w:r>
          </w:p>
          <w:p w14:paraId="2E62DFF7">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（4）在校大学生犯罪案件 ；</w:t>
            </w:r>
          </w:p>
          <w:p w14:paraId="70AB6099">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二、履行涉未民事检察职能</w:t>
            </w:r>
          </w:p>
          <w:p w14:paraId="2853019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三、履行涉未行政检察职能</w:t>
            </w:r>
          </w:p>
          <w:p w14:paraId="40CAAC76">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四、履行涉未刑事执行检察职能</w:t>
            </w:r>
          </w:p>
          <w:p w14:paraId="74533AF3">
            <w:pPr>
              <w:widowControl/>
              <w:spacing w:line="260" w:lineRule="exact"/>
              <w:ind w:firstLine="36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部门对外联系电话（内勤）：0518-85585979</w:t>
            </w:r>
          </w:p>
        </w:tc>
      </w:tr>
      <w:tr w14:paraId="482DBA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966" w:hRule="atLeast"/>
        </w:trPr>
        <w:tc>
          <w:tcPr>
            <w:tcW w:w="567" w:type="dxa"/>
            <w:shd w:val="clear" w:color="auto" w:fill="FFFFFF"/>
            <w:tcMar>
              <w:top w:w="0" w:type="dxa"/>
              <w:left w:w="108" w:type="dxa"/>
              <w:bottom w:w="0" w:type="dxa"/>
              <w:right w:w="108" w:type="dxa"/>
            </w:tcMar>
            <w:vAlign w:val="center"/>
          </w:tcPr>
          <w:p w14:paraId="01139B48">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6</w:t>
            </w:r>
          </w:p>
        </w:tc>
        <w:tc>
          <w:tcPr>
            <w:tcW w:w="1134" w:type="dxa"/>
            <w:shd w:val="clear" w:color="auto" w:fill="FFFFFF"/>
            <w:tcMar>
              <w:top w:w="0" w:type="dxa"/>
              <w:left w:w="108" w:type="dxa"/>
              <w:bottom w:w="0" w:type="dxa"/>
              <w:right w:w="108" w:type="dxa"/>
            </w:tcMar>
            <w:vAlign w:val="center"/>
          </w:tcPr>
          <w:p w14:paraId="55BF58F3">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第四</w:t>
            </w:r>
          </w:p>
          <w:p w14:paraId="32BD6DDA">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检察部</w:t>
            </w:r>
          </w:p>
        </w:tc>
        <w:tc>
          <w:tcPr>
            <w:tcW w:w="993" w:type="dxa"/>
            <w:shd w:val="clear" w:color="auto" w:fill="FFFFFF"/>
            <w:tcMar>
              <w:top w:w="0" w:type="dxa"/>
              <w:left w:w="108" w:type="dxa"/>
              <w:bottom w:w="0" w:type="dxa"/>
              <w:right w:w="108" w:type="dxa"/>
            </w:tcMar>
            <w:vAlign w:val="center"/>
          </w:tcPr>
          <w:p w14:paraId="0D2563EB">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陈如庆</w:t>
            </w:r>
          </w:p>
        </w:tc>
        <w:tc>
          <w:tcPr>
            <w:tcW w:w="1134" w:type="dxa"/>
            <w:shd w:val="clear" w:color="auto" w:fill="FFFFFF"/>
            <w:tcMar>
              <w:top w:w="0" w:type="dxa"/>
              <w:left w:w="108" w:type="dxa"/>
              <w:bottom w:w="0" w:type="dxa"/>
              <w:right w:w="108" w:type="dxa"/>
            </w:tcMar>
            <w:vAlign w:val="center"/>
          </w:tcPr>
          <w:p w14:paraId="04BD4AFF">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胡  方</w:t>
            </w:r>
          </w:p>
          <w:p w14:paraId="765E8C8C">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陈向阳</w:t>
            </w:r>
          </w:p>
          <w:p w14:paraId="0C568050">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王元麟</w:t>
            </w:r>
          </w:p>
          <w:p w14:paraId="21730613">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孙占雨</w:t>
            </w:r>
          </w:p>
          <w:p w14:paraId="71579C6C">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陶  冶</w:t>
            </w:r>
          </w:p>
        </w:tc>
        <w:tc>
          <w:tcPr>
            <w:tcW w:w="4536" w:type="dxa"/>
            <w:shd w:val="clear" w:color="auto" w:fill="FFFFFF"/>
            <w:tcMar>
              <w:top w:w="0" w:type="dxa"/>
              <w:left w:w="108" w:type="dxa"/>
              <w:bottom w:w="0" w:type="dxa"/>
              <w:right w:w="108" w:type="dxa"/>
            </w:tcMar>
            <w:vAlign w:val="center"/>
          </w:tcPr>
          <w:p w14:paraId="34D04B99">
            <w:pPr>
              <w:widowControl/>
              <w:spacing w:line="260" w:lineRule="exact"/>
              <w:ind w:firstLine="420" w:firstLineChars="20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一、负责海州区危害食品药品安全刑事案件审查批捕、审查起诉、法律监督工作；</w:t>
            </w:r>
          </w:p>
          <w:p w14:paraId="5AE1B577">
            <w:pPr>
              <w:widowControl/>
              <w:spacing w:line="260" w:lineRule="exact"/>
              <w:ind w:firstLine="415"/>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二、负责海州区破坏生态环境资源刑事案件审查批捕、审查起诉、法律监督工作；</w:t>
            </w:r>
          </w:p>
          <w:p w14:paraId="5051A0B3">
            <w:pPr>
              <w:widowControl/>
              <w:spacing w:line="260" w:lineRule="exact"/>
              <w:ind w:firstLine="415"/>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三、负责办理市局水上分局移送的涉及生态环境资源刑事案件的审查批捕、审查起诉、法律监督工作。</w:t>
            </w:r>
          </w:p>
          <w:p w14:paraId="620D5F81">
            <w:pPr>
              <w:widowControl/>
              <w:spacing w:line="260" w:lineRule="exact"/>
              <w:ind w:firstLine="36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部门对外联系电话（内勤）：0518-85571582</w:t>
            </w:r>
          </w:p>
        </w:tc>
      </w:tr>
      <w:tr w14:paraId="7E6BCB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2108" w:hRule="atLeast"/>
        </w:trPr>
        <w:tc>
          <w:tcPr>
            <w:tcW w:w="567" w:type="dxa"/>
            <w:shd w:val="clear" w:color="auto" w:fill="FFFFFF"/>
            <w:tcMar>
              <w:top w:w="0" w:type="dxa"/>
              <w:left w:w="108" w:type="dxa"/>
              <w:bottom w:w="0" w:type="dxa"/>
              <w:right w:w="108" w:type="dxa"/>
            </w:tcMar>
            <w:vAlign w:val="center"/>
          </w:tcPr>
          <w:p w14:paraId="48919025">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7</w:t>
            </w:r>
          </w:p>
        </w:tc>
        <w:tc>
          <w:tcPr>
            <w:tcW w:w="1134" w:type="dxa"/>
            <w:shd w:val="clear" w:color="auto" w:fill="FFFFFF"/>
            <w:tcMar>
              <w:top w:w="0" w:type="dxa"/>
              <w:left w:w="108" w:type="dxa"/>
              <w:bottom w:w="0" w:type="dxa"/>
              <w:right w:w="108" w:type="dxa"/>
            </w:tcMar>
            <w:vAlign w:val="center"/>
          </w:tcPr>
          <w:p w14:paraId="64051F7C">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第五</w:t>
            </w:r>
          </w:p>
          <w:p w14:paraId="444FA5B8">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检察部</w:t>
            </w:r>
          </w:p>
        </w:tc>
        <w:tc>
          <w:tcPr>
            <w:tcW w:w="993" w:type="dxa"/>
            <w:shd w:val="clear" w:color="auto" w:fill="FFFFFF"/>
            <w:tcMar>
              <w:top w:w="0" w:type="dxa"/>
              <w:left w:w="108" w:type="dxa"/>
              <w:bottom w:w="0" w:type="dxa"/>
              <w:right w:w="108" w:type="dxa"/>
            </w:tcMar>
            <w:vAlign w:val="center"/>
          </w:tcPr>
          <w:p w14:paraId="6BACE066">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潘竹梅</w:t>
            </w:r>
          </w:p>
        </w:tc>
        <w:tc>
          <w:tcPr>
            <w:tcW w:w="1134" w:type="dxa"/>
            <w:shd w:val="clear" w:color="auto" w:fill="FFFFFF"/>
            <w:tcMar>
              <w:top w:w="0" w:type="dxa"/>
              <w:left w:w="108" w:type="dxa"/>
              <w:bottom w:w="0" w:type="dxa"/>
              <w:right w:w="108" w:type="dxa"/>
            </w:tcMar>
            <w:vAlign w:val="center"/>
          </w:tcPr>
          <w:p w14:paraId="0FA1B13A">
            <w:pPr>
              <w:widowControl/>
              <w:spacing w:line="260" w:lineRule="exact"/>
              <w:jc w:val="both"/>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 xml:space="preserve"> </w:t>
            </w:r>
          </w:p>
          <w:p w14:paraId="44782DE8">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唐  敏</w:t>
            </w:r>
          </w:p>
          <w:p w14:paraId="733B38BC">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许  可</w:t>
            </w:r>
          </w:p>
          <w:p w14:paraId="1FA4C79F">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周金建</w:t>
            </w:r>
          </w:p>
          <w:p w14:paraId="57A8613A">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孙  强</w:t>
            </w:r>
          </w:p>
          <w:p w14:paraId="3EF02402">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李  超</w:t>
            </w:r>
          </w:p>
          <w:p w14:paraId="2932E1A2">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李  晖</w:t>
            </w:r>
          </w:p>
          <w:p w14:paraId="2420109E">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陶锡锡</w:t>
            </w:r>
          </w:p>
          <w:p w14:paraId="2D44D6D0">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姜竺君</w:t>
            </w:r>
          </w:p>
          <w:p w14:paraId="425EE766">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陈  薇</w:t>
            </w:r>
          </w:p>
          <w:p w14:paraId="11C9356F">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  辉</w:t>
            </w:r>
          </w:p>
          <w:p w14:paraId="584B10A4">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吴  波</w:t>
            </w:r>
          </w:p>
          <w:p w14:paraId="58D2C1A1">
            <w:pPr>
              <w:widowControl/>
              <w:spacing w:line="260" w:lineRule="exact"/>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李  伟</w:t>
            </w:r>
          </w:p>
          <w:p w14:paraId="1B3E95A3">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张  丽</w:t>
            </w:r>
          </w:p>
          <w:p w14:paraId="5128E441">
            <w:pPr>
              <w:widowControl/>
              <w:spacing w:line="260" w:lineRule="exact"/>
              <w:jc w:val="center"/>
              <w:rPr>
                <w:rFonts w:ascii="仿宋_GB2312" w:hAnsi="宋体" w:eastAsia="仿宋_GB2312" w:cs="宋体"/>
                <w:color w:val="auto"/>
                <w:kern w:val="0"/>
                <w:szCs w:val="21"/>
              </w:rPr>
            </w:pPr>
          </w:p>
        </w:tc>
        <w:tc>
          <w:tcPr>
            <w:tcW w:w="4536" w:type="dxa"/>
            <w:shd w:val="clear" w:color="auto" w:fill="FFFFFF"/>
            <w:tcMar>
              <w:top w:w="0" w:type="dxa"/>
              <w:left w:w="108" w:type="dxa"/>
              <w:bottom w:w="0" w:type="dxa"/>
              <w:right w:w="108" w:type="dxa"/>
            </w:tcMar>
            <w:vAlign w:val="center"/>
          </w:tcPr>
          <w:p w14:paraId="0F1CF3E5">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由民事行政检察科、控告申诉检察科合并。办案组织设置及职能如下：</w:t>
            </w:r>
          </w:p>
          <w:p w14:paraId="0C1B7333">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（1）民事监督：负责民事（经济）审判、民事执行和虚假诉讼监督工作。</w:t>
            </w:r>
          </w:p>
          <w:p w14:paraId="6C6D87CD">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（2）行政监督：负责对行政诉讼、行政执行、违法行政行为监督工作。</w:t>
            </w:r>
          </w:p>
          <w:p w14:paraId="00757C3D">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（3）公益诉讼：开展民事、行政公益诉讼工作。</w:t>
            </w:r>
          </w:p>
          <w:p w14:paraId="4E6F21D7">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（4）控告申诉：负责接待处理涉检信访，受理（复查）申诉案件，办理国家赔偿案件，提供司法救助，开展检调对接等工作。</w:t>
            </w:r>
          </w:p>
          <w:p w14:paraId="5ACA1811">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食品、药品安全和环境资源检察部</w:t>
            </w:r>
          </w:p>
          <w:p w14:paraId="43858FC5">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一、负责海州区危害食品药品安全刑事案件审查批捕、审查起诉、法律监督</w:t>
            </w:r>
          </w:p>
          <w:p w14:paraId="7E580E60">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二、东海县、灌云县、灌南县、连云区破坏生态环境资源刑事案件审查起诉、法律监督工作。</w:t>
            </w:r>
          </w:p>
          <w:p w14:paraId="0CBDF266">
            <w:pPr>
              <w:widowControl/>
              <w:spacing w:line="260" w:lineRule="exact"/>
              <w:ind w:firstLine="36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部门对外联系电话（内勤）：0518-85571581</w:t>
            </w:r>
          </w:p>
        </w:tc>
      </w:tr>
      <w:tr w14:paraId="52A00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1045" w:hRule="atLeast"/>
        </w:trPr>
        <w:tc>
          <w:tcPr>
            <w:tcW w:w="567" w:type="dxa"/>
            <w:shd w:val="clear" w:color="auto" w:fill="FFFFFF"/>
            <w:tcMar>
              <w:top w:w="0" w:type="dxa"/>
              <w:left w:w="108" w:type="dxa"/>
              <w:bottom w:w="0" w:type="dxa"/>
              <w:right w:w="108" w:type="dxa"/>
            </w:tcMar>
            <w:vAlign w:val="center"/>
          </w:tcPr>
          <w:p w14:paraId="5334C8EB">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8</w:t>
            </w:r>
          </w:p>
        </w:tc>
        <w:tc>
          <w:tcPr>
            <w:tcW w:w="1134" w:type="dxa"/>
            <w:shd w:val="clear" w:color="auto" w:fill="FFFFFF"/>
            <w:tcMar>
              <w:top w:w="0" w:type="dxa"/>
              <w:left w:w="108" w:type="dxa"/>
              <w:bottom w:w="0" w:type="dxa"/>
              <w:right w:w="108" w:type="dxa"/>
            </w:tcMar>
            <w:vAlign w:val="center"/>
          </w:tcPr>
          <w:p w14:paraId="37B070A2">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第六</w:t>
            </w:r>
          </w:p>
          <w:p w14:paraId="41401408">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检察部</w:t>
            </w:r>
          </w:p>
        </w:tc>
        <w:tc>
          <w:tcPr>
            <w:tcW w:w="993" w:type="dxa"/>
            <w:shd w:val="clear" w:color="auto" w:fill="FFFFFF"/>
            <w:tcMar>
              <w:top w:w="0" w:type="dxa"/>
              <w:left w:w="108" w:type="dxa"/>
              <w:bottom w:w="0" w:type="dxa"/>
              <w:right w:w="108" w:type="dxa"/>
            </w:tcMar>
            <w:vAlign w:val="center"/>
          </w:tcPr>
          <w:p w14:paraId="7109BB25">
            <w:pPr>
              <w:widowControl/>
              <w:spacing w:line="260" w:lineRule="exact"/>
              <w:jc w:val="center"/>
              <w:rPr>
                <w:rFonts w:hint="eastAsia" w:ascii="仿宋_GB2312" w:hAnsi="宋体" w:eastAsia="仿宋_GB2312" w:cs="宋体"/>
                <w:color w:val="auto"/>
                <w:kern w:val="0"/>
                <w:szCs w:val="21"/>
                <w:lang w:eastAsia="zh-CN"/>
              </w:rPr>
            </w:pPr>
            <w:r>
              <w:rPr>
                <w:rFonts w:hint="eastAsia" w:ascii="仿宋_GB2312" w:hAnsi="宋体" w:eastAsia="仿宋_GB2312" w:cs="宋体"/>
                <w:color w:val="auto"/>
                <w:kern w:val="0"/>
                <w:szCs w:val="21"/>
                <w:lang w:val="en-US" w:eastAsia="zh-CN"/>
              </w:rPr>
              <w:t>陈  凌</w:t>
            </w:r>
          </w:p>
        </w:tc>
        <w:tc>
          <w:tcPr>
            <w:tcW w:w="1134" w:type="dxa"/>
            <w:shd w:val="clear" w:color="auto" w:fill="FFFFFF"/>
            <w:tcMar>
              <w:top w:w="0" w:type="dxa"/>
              <w:left w:w="108" w:type="dxa"/>
              <w:bottom w:w="0" w:type="dxa"/>
              <w:right w:w="108" w:type="dxa"/>
            </w:tcMar>
            <w:vAlign w:val="center"/>
          </w:tcPr>
          <w:p w14:paraId="07316E54">
            <w:pPr>
              <w:widowControl/>
              <w:spacing w:line="260" w:lineRule="exact"/>
              <w:jc w:val="center"/>
              <w:rPr>
                <w:rFonts w:ascii="仿宋_GB2312" w:hAnsi="宋体" w:eastAsia="仿宋_GB2312" w:cs="宋体"/>
                <w:color w:val="auto"/>
                <w:kern w:val="0"/>
                <w:szCs w:val="21"/>
              </w:rPr>
            </w:pPr>
          </w:p>
          <w:p w14:paraId="1F8F02E0">
            <w:pPr>
              <w:widowControl/>
              <w:spacing w:line="260" w:lineRule="exact"/>
              <w:jc w:val="center"/>
              <w:rPr>
                <w:rFonts w:ascii="仿宋_GB2312" w:hAnsi="宋体" w:eastAsia="仿宋_GB2312" w:cs="宋体"/>
                <w:color w:val="auto"/>
                <w:kern w:val="0"/>
                <w:szCs w:val="21"/>
              </w:rPr>
            </w:pPr>
          </w:p>
          <w:p w14:paraId="33DE390A">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王凤娟</w:t>
            </w:r>
          </w:p>
          <w:p w14:paraId="586E8713">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史沛树</w:t>
            </w:r>
          </w:p>
          <w:p w14:paraId="0CC72FFC">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董丹丹</w:t>
            </w:r>
          </w:p>
          <w:p w14:paraId="05AB2059">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孙珊珊</w:t>
            </w:r>
          </w:p>
          <w:p w14:paraId="5B8AC8B6">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rPr>
              <w:t>周林峰</w:t>
            </w:r>
          </w:p>
          <w:p w14:paraId="0ACAA98F">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胡五球</w:t>
            </w:r>
          </w:p>
          <w:p w14:paraId="178DE462">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蔡  亮</w:t>
            </w:r>
          </w:p>
          <w:p w14:paraId="0C2C3C18">
            <w:pPr>
              <w:widowControl/>
              <w:spacing w:line="260" w:lineRule="exact"/>
              <w:jc w:val="center"/>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王汉晓</w:t>
            </w:r>
          </w:p>
          <w:p w14:paraId="7A6FBA37">
            <w:pPr>
              <w:widowControl/>
              <w:spacing w:line="260" w:lineRule="exact"/>
              <w:jc w:val="center"/>
              <w:rPr>
                <w:rFonts w:ascii="仿宋_GB2312" w:hAnsi="宋体" w:eastAsia="仿宋_GB2312" w:cs="宋体"/>
                <w:color w:val="auto"/>
                <w:kern w:val="0"/>
                <w:szCs w:val="21"/>
              </w:rPr>
            </w:pPr>
            <w:r>
              <w:rPr>
                <w:rFonts w:hint="eastAsia" w:ascii="仿宋_GB2312" w:hAnsi="宋体" w:eastAsia="仿宋_GB2312" w:cs="宋体"/>
                <w:color w:val="auto"/>
                <w:kern w:val="0"/>
                <w:szCs w:val="21"/>
                <w:lang w:val="en-US" w:eastAsia="zh-CN"/>
              </w:rPr>
              <w:t xml:space="preserve">魏琦宗 </w:t>
            </w:r>
            <w:r>
              <w:rPr>
                <w:rFonts w:hint="eastAsia" w:ascii="仿宋_GB2312" w:hAnsi="宋体" w:eastAsia="仿宋_GB2312" w:cs="宋体"/>
                <w:color w:val="auto"/>
                <w:kern w:val="0"/>
                <w:szCs w:val="21"/>
              </w:rPr>
              <w:t>宋和东</w:t>
            </w:r>
          </w:p>
          <w:p w14:paraId="138ECD9D">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贺子航</w:t>
            </w:r>
          </w:p>
          <w:p w14:paraId="5E239034">
            <w:pPr>
              <w:widowControl/>
              <w:spacing w:line="260" w:lineRule="exact"/>
              <w:jc w:val="center"/>
              <w:rPr>
                <w:rFonts w:hint="eastAsia" w:ascii="仿宋_GB2312" w:hAnsi="宋体" w:eastAsia="仿宋_GB2312" w:cs="宋体"/>
                <w:color w:val="auto"/>
                <w:kern w:val="0"/>
                <w:szCs w:val="21"/>
              </w:rPr>
            </w:pPr>
            <w:r>
              <w:rPr>
                <w:rFonts w:hint="eastAsia" w:ascii="仿宋_GB2312" w:hAnsi="宋体" w:eastAsia="仿宋_GB2312" w:cs="宋体"/>
                <w:color w:val="auto"/>
                <w:kern w:val="0"/>
                <w:szCs w:val="21"/>
              </w:rPr>
              <w:t>郑鹏昌</w:t>
            </w:r>
          </w:p>
          <w:p w14:paraId="2A780EAB">
            <w:pPr>
              <w:widowControl/>
              <w:spacing w:line="260" w:lineRule="exact"/>
              <w:jc w:val="center"/>
              <w:rPr>
                <w:rFonts w:hint="default" w:ascii="仿宋_GB2312" w:hAnsi="宋体" w:eastAsia="仿宋_GB2312" w:cs="宋体"/>
                <w:color w:val="auto"/>
                <w:kern w:val="0"/>
                <w:szCs w:val="21"/>
                <w:lang w:val="en-US" w:eastAsia="zh-CN"/>
              </w:rPr>
            </w:pPr>
          </w:p>
          <w:p w14:paraId="38AB863C">
            <w:pPr>
              <w:widowControl/>
              <w:spacing w:line="260" w:lineRule="exact"/>
              <w:jc w:val="center"/>
              <w:rPr>
                <w:rFonts w:hint="default" w:ascii="仿宋_GB2312" w:hAnsi="宋体" w:eastAsia="仿宋_GB2312" w:cs="宋体"/>
                <w:color w:val="auto"/>
                <w:kern w:val="0"/>
                <w:szCs w:val="21"/>
                <w:lang w:val="en-US" w:eastAsia="zh-CN"/>
              </w:rPr>
            </w:pPr>
          </w:p>
          <w:p w14:paraId="3DF01A05">
            <w:pPr>
              <w:widowControl/>
              <w:spacing w:line="260" w:lineRule="exact"/>
              <w:jc w:val="center"/>
              <w:rPr>
                <w:rFonts w:hint="default" w:ascii="仿宋_GB2312" w:hAnsi="宋体" w:eastAsia="仿宋_GB2312" w:cs="宋体"/>
                <w:color w:val="auto"/>
                <w:kern w:val="0"/>
                <w:szCs w:val="21"/>
                <w:lang w:val="en-US" w:eastAsia="zh-CN"/>
              </w:rPr>
            </w:pPr>
          </w:p>
        </w:tc>
        <w:tc>
          <w:tcPr>
            <w:tcW w:w="4536" w:type="dxa"/>
            <w:shd w:val="clear" w:color="auto" w:fill="FFFFFF"/>
            <w:tcMar>
              <w:top w:w="0" w:type="dxa"/>
              <w:left w:w="108" w:type="dxa"/>
              <w:bottom w:w="0" w:type="dxa"/>
              <w:right w:w="108" w:type="dxa"/>
            </w:tcMar>
            <w:vAlign w:val="center"/>
          </w:tcPr>
          <w:p w14:paraId="398D484B">
            <w:pPr>
              <w:widowControl/>
              <w:spacing w:line="260" w:lineRule="exact"/>
              <w:jc w:val="left"/>
              <w:rPr>
                <w:rFonts w:ascii="仿宋_GB2312" w:hAnsi="宋体" w:eastAsia="仿宋_GB2312" w:cs="宋体"/>
                <w:color w:val="auto"/>
                <w:kern w:val="0"/>
                <w:szCs w:val="21"/>
              </w:rPr>
            </w:pPr>
            <w:r>
              <w:rPr>
                <w:rFonts w:hint="eastAsia" w:ascii="宋体" w:hAnsi="宋体" w:eastAsia="仿宋_GB2312" w:cs="宋体"/>
                <w:color w:val="auto"/>
                <w:kern w:val="0"/>
                <w:szCs w:val="21"/>
              </w:rPr>
              <w:t> </w:t>
            </w:r>
            <w:r>
              <w:rPr>
                <w:rFonts w:hint="eastAsia" w:ascii="仿宋_GB2312" w:hAnsi="宋体" w:eastAsia="仿宋_GB2312" w:cs="宋体"/>
                <w:color w:val="auto"/>
                <w:kern w:val="0"/>
                <w:szCs w:val="21"/>
              </w:rPr>
              <w:t>　　案管组：</w:t>
            </w:r>
          </w:p>
          <w:p w14:paraId="596BA680">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统一负责案件受理、流转。包括统一受理同级公安机关和法院移送案件和本院直接立案管辖的案件，统一分流案件、统一办理内部流转、统一办结登记、统一负责案件对外移送的审核工作。2、统一负责办案流程监控。包括负责执法办案风险评估、预警的组织协调和执法规范化建设的有关工作，并对本院各业务部门所办理案件从立案到结案的办案程序和办案期限进行跟踪、预警和监控，及时发现和督促纠正违法办案情形，确保各项办案工作依法进行。3、统一负责扣押、冻结款物的监管。对侦查机关随案移送涉案款物和本院自侦部门扣押、冻结的涉案款物进行监管。4、统一负责以院名义制发的案件文书的监管。包括对立案、结案文书、采取、变更强制措施的文书，搜查和扣押、冻结款物的文书，指定管辖文书等的监管。5、统一负责组织办案质量评查。组织对本院各业务部门办理的案件进行定期评查；对投诉本院各业务部门办案质量问题的案件，组织个案评查；组织、协调本院各业务部门对全院办理的案件进行评查，并对各部门报送的评查报告进行备案、汇总。6、统一负责业务统计、分析。包括负责检察业务统计工作，对全院执法办案情况进行调查研究、综合分析；对全院办案工作运行态势进行综合分析、研判，提出有针对性的对策建议，为院领导决策和业务部门指导工作提供参考依据。7、完成党组和检察长交办的其他工作。</w:t>
            </w:r>
          </w:p>
          <w:p w14:paraId="509CB53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研究室：</w:t>
            </w:r>
          </w:p>
          <w:p w14:paraId="030B473E">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组织协调本院检察调研工作；2、对本院检察工作中具体应用法律和执行政策问题进行调查研究，向本院领导和有关部门提出意见、建议；3、围绕检察实践中遇到的新情况、新问题开展专题调研和风险研判，为领导机关和本院领导提供决策参考意见；4、围绕司法实务中的法律适用问题开展类案研究、典型案例研究、指导性案件研究，解决法律适用难题；5、组织、参与各级重大课题研究，推动理论研究的深度和广度。6、承办本院检察委员会日常工作，对提交检察委员会讨论的事项和案件材料是否符合要求进行程序性审查；对检察委员会讨论决定事项进行督办；承担检察委员会会务工作，起草会议纪要；7、负责其他应当由法律政策研究部门承办的事项。</w:t>
            </w:r>
          </w:p>
          <w:p w14:paraId="29C56AF4">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法警组：</w:t>
            </w:r>
          </w:p>
          <w:p w14:paraId="423B00BE">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人民检察院司法警察依照《人民检察院组织法》、《人民检察院司法警察条例》的规定包括：1、保护人民检察院直接立案侦查案件的犯罪现场；2、执行传唤、拘传；3、协助执行监视居住、拘留、逮捕,协助追捕在逃或者脱选的犯罪嫌疑人；4、参与搜查；5、提押、看管犯罪嫌疑人、被告人和罪犯；6、送达有关法律文书；7、保护出席法庭、执行死刑临场监督检察人员的安全；8、协助维护检察机关接待群众来访场所的秩序和安全,参与处置突发事件；9、法律、法规规定的其他职责。</w:t>
            </w:r>
          </w:p>
          <w:p w14:paraId="4007559B">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技术组：</w:t>
            </w:r>
          </w:p>
          <w:p w14:paraId="2E83D85C">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负责全院技术装备管理，配合办案干部做好视听资料证据的收集、提取、固定和运用工作；负责全院计算机信息系统建设的规划；负责有关案件的技术鉴定和法医鉴定。</w:t>
            </w:r>
          </w:p>
          <w:p w14:paraId="66F61EA7">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检务督察组：</w:t>
            </w:r>
          </w:p>
          <w:p w14:paraId="1E14103E">
            <w:pPr>
              <w:widowControl/>
              <w:spacing w:line="260" w:lineRule="exact"/>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　　1、检查了解并向院党组和上级纪检机关反映检察机关及党员执行党的路线、方针、政策和决议的情况；2、协助党组整顿党风，对党员进行党性、党风、党纪教育，维护党的纪律；3、对司法办案中遵守和执行办案纪律情况监督；4、对本院重点案件定期开展专项督查；5、开展廉政风险防控排查防控；6、开展不规范司法行为调查处置工作；7、监督检查“三重一大”中央八项规定及作风建设情况；8、负责院党组和院领导交办的其他事项。</w:t>
            </w:r>
          </w:p>
          <w:p w14:paraId="334CB36D">
            <w:pPr>
              <w:widowControl/>
              <w:spacing w:line="260" w:lineRule="exact"/>
              <w:ind w:firstLine="360"/>
              <w:jc w:val="left"/>
              <w:rPr>
                <w:rFonts w:ascii="仿宋_GB2312" w:hAnsi="宋体" w:eastAsia="仿宋_GB2312" w:cs="宋体"/>
                <w:color w:val="auto"/>
                <w:kern w:val="0"/>
                <w:szCs w:val="21"/>
              </w:rPr>
            </w:pPr>
            <w:r>
              <w:rPr>
                <w:rFonts w:hint="eastAsia" w:ascii="仿宋_GB2312" w:hAnsi="宋体" w:eastAsia="仿宋_GB2312" w:cs="宋体"/>
                <w:color w:val="auto"/>
                <w:kern w:val="0"/>
                <w:szCs w:val="21"/>
              </w:rPr>
              <w:t>部门对外联系电话（内勤）：0518-85572317</w:t>
            </w:r>
          </w:p>
        </w:tc>
      </w:tr>
      <w:tr w14:paraId="10E384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blCellMar>
            <w:top w:w="0" w:type="dxa"/>
            <w:left w:w="0" w:type="dxa"/>
            <w:bottom w:w="0" w:type="dxa"/>
            <w:right w:w="0" w:type="dxa"/>
          </w:tblCellMar>
        </w:tblPrEx>
        <w:trPr>
          <w:trHeight w:val="844" w:hRule="atLeast"/>
        </w:trPr>
        <w:tc>
          <w:tcPr>
            <w:tcW w:w="8364" w:type="dxa"/>
            <w:gridSpan w:val="5"/>
            <w:shd w:val="clear" w:color="auto" w:fill="FFFFFF"/>
            <w:tcMar>
              <w:top w:w="0" w:type="dxa"/>
              <w:left w:w="108" w:type="dxa"/>
              <w:bottom w:w="0" w:type="dxa"/>
              <w:right w:w="108" w:type="dxa"/>
            </w:tcMar>
            <w:vAlign w:val="center"/>
          </w:tcPr>
          <w:p w14:paraId="7AA6EBEA">
            <w:pPr>
              <w:widowControl/>
              <w:spacing w:line="260" w:lineRule="exact"/>
              <w:jc w:val="left"/>
              <w:rPr>
                <w:rFonts w:ascii="仿宋_GB2312" w:hAnsi="宋体" w:eastAsia="仿宋_GB2312" w:cs="宋体"/>
                <w:color w:val="auto"/>
                <w:kern w:val="0"/>
                <w:szCs w:val="21"/>
              </w:rPr>
            </w:pPr>
          </w:p>
        </w:tc>
      </w:tr>
      <w:bookmarkEnd w:id="0"/>
    </w:tbl>
    <w:p w14:paraId="14D7CF4E">
      <w:pPr>
        <w:spacing w:line="260" w:lineRule="exact"/>
        <w:rPr>
          <w:rFonts w:ascii="仿宋_GB2312" w:eastAsia="仿宋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0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05"/>
    <w:rsid w:val="000855F9"/>
    <w:rsid w:val="000C5922"/>
    <w:rsid w:val="000F7FD1"/>
    <w:rsid w:val="001A2C0D"/>
    <w:rsid w:val="001F42E8"/>
    <w:rsid w:val="00355ECE"/>
    <w:rsid w:val="0036242D"/>
    <w:rsid w:val="00486995"/>
    <w:rsid w:val="00497963"/>
    <w:rsid w:val="004D5CAC"/>
    <w:rsid w:val="00547DA6"/>
    <w:rsid w:val="0058147E"/>
    <w:rsid w:val="006D6675"/>
    <w:rsid w:val="007128CD"/>
    <w:rsid w:val="007130A6"/>
    <w:rsid w:val="007443AE"/>
    <w:rsid w:val="00751F15"/>
    <w:rsid w:val="00765571"/>
    <w:rsid w:val="007B5474"/>
    <w:rsid w:val="00835E6A"/>
    <w:rsid w:val="008B100E"/>
    <w:rsid w:val="008D4692"/>
    <w:rsid w:val="0093516A"/>
    <w:rsid w:val="009404E9"/>
    <w:rsid w:val="0097065F"/>
    <w:rsid w:val="009D6205"/>
    <w:rsid w:val="00A776F5"/>
    <w:rsid w:val="00BC7EE3"/>
    <w:rsid w:val="00C16E11"/>
    <w:rsid w:val="00C81012"/>
    <w:rsid w:val="00CA0C3B"/>
    <w:rsid w:val="00CB134C"/>
    <w:rsid w:val="00CB303E"/>
    <w:rsid w:val="00CE1B77"/>
    <w:rsid w:val="00D02A2B"/>
    <w:rsid w:val="00DA66C9"/>
    <w:rsid w:val="00DE741D"/>
    <w:rsid w:val="00DF1199"/>
    <w:rsid w:val="00EA2FD7"/>
    <w:rsid w:val="00F40E9D"/>
    <w:rsid w:val="00F43269"/>
    <w:rsid w:val="00F85298"/>
    <w:rsid w:val="00FB66E6"/>
    <w:rsid w:val="00FD3133"/>
    <w:rsid w:val="14AE7CA3"/>
    <w:rsid w:val="1FF81EE7"/>
    <w:rsid w:val="2BD5719E"/>
    <w:rsid w:val="3E043D34"/>
    <w:rsid w:val="4B970FE6"/>
    <w:rsid w:val="52BB59E0"/>
    <w:rsid w:val="64230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4335</Words>
  <Characters>4432</Characters>
  <Lines>39</Lines>
  <Paragraphs>11</Paragraphs>
  <TotalTime>13</TotalTime>
  <ScaleCrop>false</ScaleCrop>
  <LinksUpToDate>false</LinksUpToDate>
  <CharactersWithSpaces>4663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2021-11-11T03:04:00Z</dcterms:created>
  <dc:creator>ZhaoJ</dc:creator>
  <cp:lastModifiedBy>64+</cp:lastModifiedBy>
  <cp:lastPrinted>2021-02-03T09:28:00Z</cp:lastPrinted>
  <dcterms:modified xsi:type="dcterms:W3CDTF">2025-04-22T03:19:14Z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eyJoZGlkIjoiYjlkZWNjYmNiNDJkNDcyZjk5YTlkMDQyZjMxOTc3ZDQiLCJ1c2VySWQiOiIxNDExMzU4MTc2In0=</vt:lpwstr>
  </property>
  <property fmtid="{D5CDD505-2E9C-101B-9397-08002B2CF9AE}" pid="3" name="KSOProductBuildVer">
    <vt:lpwstr>2052-12.1.0.20784</vt:lpwstr>
  </property>
  <property fmtid="{D5CDD505-2E9C-101B-9397-08002B2CF9AE}" pid="4" name="ICV">
    <vt:lpwstr>9795BEAB714043639278E6B91E50FC6E_13</vt:lpwstr>
  </property>
</Properties>
</file>